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6E" w:rsidRDefault="00383B8E">
      <w:pPr>
        <w:spacing w:before="4" w:line="160" w:lineRule="exact"/>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1854200</wp:posOffset>
                </wp:positionH>
                <wp:positionV relativeFrom="paragraph">
                  <wp:posOffset>-566420</wp:posOffset>
                </wp:positionV>
                <wp:extent cx="4881880" cy="1042670"/>
                <wp:effectExtent l="0" t="0" r="0" b="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1042670"/>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91A" w:rsidRPr="004B577B" w:rsidRDefault="00CD691A" w:rsidP="004B577B">
                            <w:pPr>
                              <w:jc w:val="center"/>
                              <w:rPr>
                                <w:color w:val="FFFFFF" w:themeColor="background1"/>
                                <w:sz w:val="120"/>
                                <w:szCs w:val="120"/>
                              </w:rPr>
                            </w:pPr>
                            <w:r>
                              <w:rPr>
                                <w:color w:val="FFFFFF" w:themeColor="background1"/>
                                <w:sz w:val="120"/>
                                <w:szCs w:val="120"/>
                              </w:rPr>
                              <w:t>IMPACT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146pt;margin-top:-44.6pt;width:384.4pt;height:8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" fillcolor="#365f91 [2404]" stroked="f">
                <v:textbox>
                  <w:txbxContent>
                    <w:p w:rsidR="00CD691A" w:rsidRPr="004B577B" w:rsidRDefault="00CD691A" w:rsidP="004B577B">
                      <w:pPr>
                        <w:jc w:val="center"/>
                        <w:rPr>
                          <w:color w:val="FFFFFF" w:themeColor="background1"/>
                          <w:sz w:val="120"/>
                          <w:szCs w:val="120"/>
                        </w:rPr>
                      </w:pPr>
                      <w:r>
                        <w:rPr>
                          <w:color w:val="FFFFFF" w:themeColor="background1"/>
                          <w:sz w:val="120"/>
                          <w:szCs w:val="120"/>
                        </w:rPr>
                        <w:t>IMPACT 2014</w:t>
                      </w:r>
                    </w:p>
                  </w:txbxContent>
                </v:textbox>
              </v:shape>
            </w:pict>
          </mc:Fallback>
        </mc:AlternateContent>
      </w:r>
      <w:r>
        <w:rPr>
          <w:noProof/>
          <w:sz w:val="16"/>
          <w:szCs w:val="16"/>
        </w:rPr>
        <w:drawing>
          <wp:anchor distT="0" distB="0" distL="114300" distR="114300" simplePos="0" relativeHeight="251660288" behindDoc="1" locked="0" layoutInCell="1" allowOverlap="1">
            <wp:simplePos x="0" y="0"/>
            <wp:positionH relativeFrom="column">
              <wp:posOffset>72390</wp:posOffset>
            </wp:positionH>
            <wp:positionV relativeFrom="paragraph">
              <wp:posOffset>-495300</wp:posOffset>
            </wp:positionV>
            <wp:extent cx="1579880" cy="1714500"/>
            <wp:effectExtent l="0" t="0" r="127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880" cy="1714500"/>
                    </a:xfrm>
                    <a:prstGeom prst="rect">
                      <a:avLst/>
                    </a:prstGeom>
                    <a:noFill/>
                  </pic:spPr>
                </pic:pic>
              </a:graphicData>
            </a:graphic>
            <wp14:sizeRelH relativeFrom="page">
              <wp14:pctWidth>0</wp14:pctWidth>
            </wp14:sizeRelH>
            <wp14:sizeRelV relativeFrom="page">
              <wp14:pctHeight>0</wp14:pctHeight>
            </wp14:sizeRelV>
          </wp:anchor>
        </w:drawing>
      </w:r>
    </w:p>
    <w:p w:rsidR="005E716E" w:rsidRDefault="005E716E">
      <w:pPr>
        <w:spacing w:line="200" w:lineRule="exact"/>
        <w:rPr>
          <w:sz w:val="20"/>
          <w:szCs w:val="20"/>
        </w:rPr>
      </w:pPr>
    </w:p>
    <w:p w:rsidR="005E716E" w:rsidRDefault="005E716E">
      <w:pPr>
        <w:spacing w:line="200" w:lineRule="exact"/>
        <w:rPr>
          <w:sz w:val="20"/>
          <w:szCs w:val="20"/>
        </w:rPr>
      </w:pPr>
    </w:p>
    <w:p w:rsidR="005E716E" w:rsidRDefault="005E716E">
      <w:pPr>
        <w:spacing w:line="200" w:lineRule="exact"/>
        <w:rPr>
          <w:sz w:val="20"/>
          <w:szCs w:val="20"/>
        </w:rPr>
      </w:pPr>
    </w:p>
    <w:p w:rsidR="005E716E" w:rsidRDefault="00383B8E">
      <w:pPr>
        <w:pStyle w:val="Heading1"/>
        <w:spacing w:before="65" w:line="242" w:lineRule="auto"/>
        <w:ind w:left="3145" w:right="1277"/>
        <w:jc w:val="center"/>
        <w:rPr>
          <w:b w:val="0"/>
          <w:bCs w:val="0"/>
        </w:rPr>
      </w:pPr>
      <w:r>
        <w:rPr>
          <w:color w:val="2756A2"/>
          <w:spacing w:val="-1"/>
        </w:rPr>
        <w:t>Through</w:t>
      </w:r>
      <w:r>
        <w:rPr>
          <w:color w:val="2756A2"/>
          <w:spacing w:val="1"/>
        </w:rPr>
        <w:t xml:space="preserve"> </w:t>
      </w:r>
      <w:r>
        <w:rPr>
          <w:color w:val="2756A2"/>
          <w:spacing w:val="-1"/>
        </w:rPr>
        <w:t>Extension</w:t>
      </w:r>
      <w:r>
        <w:rPr>
          <w:color w:val="2756A2"/>
        </w:rPr>
        <w:t xml:space="preserve"> </w:t>
      </w:r>
      <w:r>
        <w:rPr>
          <w:color w:val="2756A2"/>
          <w:spacing w:val="-1"/>
        </w:rPr>
        <w:t>programs</w:t>
      </w:r>
      <w:r>
        <w:rPr>
          <w:color w:val="2756A2"/>
        </w:rPr>
        <w:t xml:space="preserve"> across </w:t>
      </w:r>
      <w:r>
        <w:rPr>
          <w:color w:val="2756A2"/>
          <w:spacing w:val="-1"/>
        </w:rPr>
        <w:t>the</w:t>
      </w:r>
      <w:r>
        <w:rPr>
          <w:color w:val="2756A2"/>
        </w:rPr>
        <w:t xml:space="preserve"> </w:t>
      </w:r>
      <w:r>
        <w:rPr>
          <w:color w:val="2756A2"/>
          <w:spacing w:val="-1"/>
        </w:rPr>
        <w:t>nation,</w:t>
      </w:r>
      <w:r>
        <w:rPr>
          <w:color w:val="2756A2"/>
        </w:rPr>
        <w:t xml:space="preserve"> </w:t>
      </w:r>
      <w:r>
        <w:rPr>
          <w:color w:val="2756A2"/>
          <w:spacing w:val="-1"/>
        </w:rPr>
        <w:t>Family</w:t>
      </w:r>
      <w:r>
        <w:rPr>
          <w:color w:val="2756A2"/>
        </w:rPr>
        <w:t xml:space="preserve"> and</w:t>
      </w:r>
      <w:r>
        <w:rPr>
          <w:color w:val="2756A2"/>
          <w:spacing w:val="-2"/>
        </w:rPr>
        <w:t xml:space="preserve"> </w:t>
      </w:r>
      <w:r>
        <w:rPr>
          <w:color w:val="2756A2"/>
          <w:spacing w:val="-1"/>
        </w:rPr>
        <w:t>Consumer</w:t>
      </w:r>
      <w:r>
        <w:rPr>
          <w:color w:val="2756A2"/>
          <w:spacing w:val="45"/>
        </w:rPr>
        <w:t xml:space="preserve"> </w:t>
      </w:r>
      <w:r>
        <w:rPr>
          <w:color w:val="2756A2"/>
        </w:rPr>
        <w:t xml:space="preserve">Science </w:t>
      </w:r>
      <w:r>
        <w:rPr>
          <w:color w:val="2756A2"/>
          <w:spacing w:val="-1"/>
        </w:rPr>
        <w:t>Extension</w:t>
      </w:r>
      <w:r>
        <w:rPr>
          <w:color w:val="2756A2"/>
        </w:rPr>
        <w:t xml:space="preserve"> </w:t>
      </w:r>
      <w:r>
        <w:rPr>
          <w:color w:val="2756A2"/>
          <w:spacing w:val="-1"/>
        </w:rPr>
        <w:t>Educators</w:t>
      </w:r>
      <w:r>
        <w:rPr>
          <w:color w:val="2756A2"/>
        </w:rPr>
        <w:t xml:space="preserve"> </w:t>
      </w:r>
      <w:r>
        <w:rPr>
          <w:color w:val="2756A2"/>
          <w:spacing w:val="-1"/>
        </w:rPr>
        <w:t>provide</w:t>
      </w:r>
      <w:r>
        <w:rPr>
          <w:color w:val="2756A2"/>
        </w:rPr>
        <w:t xml:space="preserve"> a</w:t>
      </w:r>
      <w:r>
        <w:rPr>
          <w:color w:val="2756A2"/>
          <w:spacing w:val="-3"/>
        </w:rPr>
        <w:t xml:space="preserve"> </w:t>
      </w:r>
      <w:r>
        <w:rPr>
          <w:color w:val="2756A2"/>
          <w:spacing w:val="-1"/>
        </w:rPr>
        <w:t>multitude</w:t>
      </w:r>
      <w:r>
        <w:rPr>
          <w:color w:val="2756A2"/>
          <w:spacing w:val="-2"/>
        </w:rPr>
        <w:t xml:space="preserve"> </w:t>
      </w:r>
      <w:r>
        <w:rPr>
          <w:color w:val="2756A2"/>
          <w:spacing w:val="-1"/>
        </w:rPr>
        <w:t>of</w:t>
      </w:r>
      <w:r>
        <w:rPr>
          <w:color w:val="2756A2"/>
          <w:spacing w:val="1"/>
        </w:rPr>
        <w:t xml:space="preserve"> </w:t>
      </w:r>
      <w:r>
        <w:rPr>
          <w:color w:val="2756A2"/>
          <w:spacing w:val="-1"/>
        </w:rPr>
        <w:t>educational</w:t>
      </w:r>
      <w:r>
        <w:rPr>
          <w:color w:val="2756A2"/>
          <w:spacing w:val="45"/>
        </w:rPr>
        <w:t xml:space="preserve"> </w:t>
      </w:r>
      <w:r>
        <w:rPr>
          <w:color w:val="2756A2"/>
          <w:spacing w:val="-1"/>
        </w:rPr>
        <w:t>opportunities</w:t>
      </w:r>
      <w:r>
        <w:rPr>
          <w:color w:val="2756A2"/>
          <w:spacing w:val="6"/>
        </w:rPr>
        <w:t xml:space="preserve"> </w:t>
      </w:r>
      <w:r>
        <w:rPr>
          <w:color w:val="2756A2"/>
          <w:spacing w:val="-1"/>
        </w:rPr>
        <w:t>to</w:t>
      </w:r>
      <w:r>
        <w:rPr>
          <w:color w:val="2756A2"/>
          <w:spacing w:val="8"/>
        </w:rPr>
        <w:t xml:space="preserve"> </w:t>
      </w:r>
      <w:r>
        <w:rPr>
          <w:color w:val="2756A2"/>
          <w:spacing w:val="-1"/>
        </w:rPr>
        <w:t>meet</w:t>
      </w:r>
      <w:r>
        <w:rPr>
          <w:color w:val="2756A2"/>
          <w:spacing w:val="8"/>
        </w:rPr>
        <w:t xml:space="preserve"> </w:t>
      </w:r>
      <w:r>
        <w:rPr>
          <w:color w:val="2756A2"/>
          <w:spacing w:val="-1"/>
        </w:rPr>
        <w:t>the</w:t>
      </w:r>
      <w:r>
        <w:rPr>
          <w:color w:val="2756A2"/>
          <w:spacing w:val="4"/>
        </w:rPr>
        <w:t xml:space="preserve"> </w:t>
      </w:r>
      <w:r>
        <w:rPr>
          <w:color w:val="2756A2"/>
        </w:rPr>
        <w:t>needs</w:t>
      </w:r>
      <w:r>
        <w:rPr>
          <w:color w:val="2756A2"/>
          <w:spacing w:val="7"/>
        </w:rPr>
        <w:t xml:space="preserve"> </w:t>
      </w:r>
      <w:r>
        <w:rPr>
          <w:color w:val="2756A2"/>
        </w:rPr>
        <w:t>of</w:t>
      </w:r>
      <w:r>
        <w:rPr>
          <w:color w:val="2756A2"/>
          <w:spacing w:val="6"/>
        </w:rPr>
        <w:t xml:space="preserve"> </w:t>
      </w:r>
      <w:r>
        <w:rPr>
          <w:color w:val="2756A2"/>
        </w:rPr>
        <w:t>diverse</w:t>
      </w:r>
      <w:r>
        <w:rPr>
          <w:color w:val="2756A2"/>
          <w:spacing w:val="7"/>
        </w:rPr>
        <w:t xml:space="preserve"> </w:t>
      </w:r>
      <w:r>
        <w:rPr>
          <w:color w:val="2756A2"/>
          <w:spacing w:val="-1"/>
        </w:rPr>
        <w:t>audiences.</w:t>
      </w:r>
    </w:p>
    <w:p w:rsidR="004B577B" w:rsidRDefault="004B577B">
      <w:pPr>
        <w:spacing w:before="34"/>
        <w:ind w:left="1257" w:right="1277"/>
        <w:jc w:val="center"/>
        <w:rPr>
          <w:rFonts w:ascii="Arial Narrow"/>
          <w:b/>
          <w:color w:val="2756A2"/>
          <w:spacing w:val="-1"/>
          <w:sz w:val="48"/>
        </w:rPr>
      </w:pPr>
    </w:p>
    <w:p w:rsidR="00F42AED" w:rsidRDefault="00F42AED" w:rsidP="00F42AED">
      <w:pPr>
        <w:spacing w:before="34"/>
        <w:ind w:left="1257" w:right="1277"/>
        <w:jc w:val="center"/>
        <w:rPr>
          <w:sz w:val="24"/>
          <w:szCs w:val="24"/>
        </w:rPr>
      </w:pPr>
      <w:r>
        <w:rPr>
          <w:rFonts w:ascii="Arial Narrow"/>
          <w:b/>
          <w:color w:val="2756A2"/>
          <w:spacing w:val="-1"/>
          <w:sz w:val="48"/>
        </w:rPr>
        <w:t>Food Safety</w:t>
      </w:r>
    </w:p>
    <w:p w:rsidR="00F42AED" w:rsidRDefault="00F42AED" w:rsidP="00F42AED">
      <w:pPr>
        <w:spacing w:line="240" w:lineRule="exact"/>
        <w:rPr>
          <w:sz w:val="24"/>
          <w:szCs w:val="24"/>
        </w:rPr>
        <w:sectPr w:rsidR="00F42AED" w:rsidSect="00F42AED">
          <w:headerReference w:type="default" r:id="rId10"/>
          <w:footerReference w:type="default" r:id="rId11"/>
          <w:type w:val="continuous"/>
          <w:pgSz w:w="12240" w:h="15840"/>
          <w:pgMar w:top="1180" w:right="660" w:bottom="280" w:left="660" w:header="720" w:footer="720" w:gutter="0"/>
          <w:cols w:space="720"/>
          <w:titlePg/>
          <w:docGrid w:linePitch="299"/>
        </w:sectPr>
      </w:pPr>
    </w:p>
    <w:p w:rsidR="00F42AED" w:rsidRDefault="00F42AED" w:rsidP="00F42AED">
      <w:pPr>
        <w:spacing w:line="240" w:lineRule="exact"/>
        <w:rPr>
          <w:sz w:val="24"/>
          <w:szCs w:val="24"/>
        </w:rPr>
      </w:pPr>
    </w:p>
    <w:p w:rsidR="00F42AED" w:rsidRDefault="00F42AED" w:rsidP="00F42AED"/>
    <w:p w:rsidR="00F42AED" w:rsidRDefault="00F42AED" w:rsidP="00F42AED">
      <w:pPr>
        <w:sectPr w:rsidR="00F42AED" w:rsidSect="00F42AED">
          <w:type w:val="continuous"/>
          <w:pgSz w:w="12240" w:h="15840"/>
          <w:pgMar w:top="1180" w:right="660" w:bottom="280" w:left="660" w:header="720" w:footer="720" w:gutter="0"/>
          <w:cols w:num="2" w:space="720"/>
        </w:sectPr>
      </w:pPr>
    </w:p>
    <w:p w:rsidR="00F42AED" w:rsidRPr="003F67C9" w:rsidRDefault="00F42AED" w:rsidP="00F42AED">
      <w:r w:rsidRPr="003F67C9">
        <w:lastRenderedPageBreak/>
        <w:t xml:space="preserve">According to the Center for Disease Control (CDC) one in six Americans get sick or are hospitalized each year while 3,000 die from food borne illness.  The CDC notes </w:t>
      </w:r>
      <w:r w:rsidR="00543257">
        <w:t xml:space="preserve">that </w:t>
      </w:r>
      <w:r w:rsidRPr="003F67C9">
        <w:t xml:space="preserve">consumers can protect themselves by following basic precautions (separate, chill and clean) while preparing food and by reporting suspected cases of food borne illness. Extension FCS educators help everyone from home cooks to restaurateurs keep food safe from farm to table. </w:t>
      </w:r>
    </w:p>
    <w:p w:rsidR="00F42AED" w:rsidRPr="001503C6" w:rsidRDefault="00F42AED" w:rsidP="00F42AED">
      <w:pPr>
        <w:pStyle w:val="NormalWeb"/>
        <w:spacing w:after="240" w:afterAutospacing="0"/>
        <w:rPr>
          <w:rFonts w:asciiTheme="minorHAnsi" w:hAnsiTheme="minorHAnsi"/>
          <w:szCs w:val="22"/>
        </w:rPr>
      </w:pPr>
      <w:r w:rsidRPr="001503C6">
        <w:rPr>
          <w:rFonts w:asciiTheme="minorHAnsi" w:hAnsiTheme="minorHAnsi"/>
          <w:b/>
          <w:szCs w:val="22"/>
        </w:rPr>
        <w:t xml:space="preserve">Food Preservation and Safety for Individuals and </w:t>
      </w:r>
      <w:r w:rsidR="001503C6">
        <w:rPr>
          <w:rFonts w:asciiTheme="minorHAnsi" w:hAnsiTheme="minorHAnsi"/>
          <w:b/>
          <w:szCs w:val="22"/>
        </w:rPr>
        <w:t>F</w:t>
      </w:r>
      <w:r w:rsidRPr="001503C6">
        <w:rPr>
          <w:rFonts w:asciiTheme="minorHAnsi" w:hAnsiTheme="minorHAnsi"/>
          <w:b/>
          <w:szCs w:val="22"/>
        </w:rPr>
        <w:t>amilies</w:t>
      </w:r>
    </w:p>
    <w:p w:rsidR="00F42AED" w:rsidRPr="003F67C9" w:rsidRDefault="00F42AED" w:rsidP="00F42AED">
      <w:pPr>
        <w:pStyle w:val="NormalWeb"/>
        <w:spacing w:after="240" w:afterAutospacing="0"/>
        <w:rPr>
          <w:rFonts w:asciiTheme="minorHAnsi" w:hAnsiTheme="minorHAnsi" w:cs="Arial"/>
          <w:sz w:val="22"/>
          <w:szCs w:val="22"/>
        </w:rPr>
      </w:pPr>
      <w:r w:rsidRPr="003F67C9">
        <w:rPr>
          <w:rFonts w:asciiTheme="minorHAnsi" w:hAnsiTheme="minorHAnsi" w:cs="Arial"/>
          <w:sz w:val="22"/>
          <w:szCs w:val="22"/>
        </w:rPr>
        <w:t xml:space="preserve">In </w:t>
      </w:r>
      <w:r w:rsidRPr="003F67C9">
        <w:rPr>
          <w:rFonts w:asciiTheme="minorHAnsi" w:hAnsiTheme="minorHAnsi" w:cs="Arial"/>
          <w:b/>
          <w:sz w:val="22"/>
          <w:szCs w:val="22"/>
        </w:rPr>
        <w:t>Colorado,</w:t>
      </w:r>
      <w:r w:rsidRPr="003F67C9">
        <w:rPr>
          <w:rFonts w:asciiTheme="minorHAnsi" w:hAnsiTheme="minorHAnsi" w:cs="Arial"/>
          <w:sz w:val="22"/>
          <w:szCs w:val="22"/>
        </w:rPr>
        <w:t xml:space="preserve"> 543 trainings instructed 51,350 individuals on home food preservation, proper hand washing, and pressure canner gauge inspection. Over 1,000 participants reported they intended to adopt safe home food preservation practices. </w:t>
      </w:r>
      <w:r w:rsidRPr="003F67C9">
        <w:rPr>
          <w:rFonts w:asciiTheme="minorHAnsi" w:hAnsiTheme="minorHAnsi"/>
          <w:b/>
          <w:sz w:val="22"/>
          <w:szCs w:val="22"/>
        </w:rPr>
        <w:t>Missouri</w:t>
      </w:r>
      <w:r w:rsidRPr="003F67C9">
        <w:rPr>
          <w:rFonts w:asciiTheme="minorHAnsi" w:hAnsiTheme="minorHAnsi"/>
          <w:sz w:val="22"/>
          <w:szCs w:val="22"/>
        </w:rPr>
        <w:t xml:space="preserve"> Extension offered 20 food preservation programs to over 330 individuals. </w:t>
      </w:r>
      <w:r w:rsidRPr="003F67C9">
        <w:rPr>
          <w:rFonts w:asciiTheme="minorHAnsi" w:hAnsiTheme="minorHAnsi" w:cs="Arial"/>
          <w:sz w:val="22"/>
          <w:szCs w:val="22"/>
        </w:rPr>
        <w:t xml:space="preserve">Over 900 </w:t>
      </w:r>
      <w:r w:rsidRPr="003F67C9">
        <w:rPr>
          <w:rFonts w:asciiTheme="minorHAnsi" w:hAnsiTheme="minorHAnsi" w:cs="Arial"/>
          <w:b/>
          <w:sz w:val="22"/>
          <w:szCs w:val="22"/>
        </w:rPr>
        <w:t>Ohio</w:t>
      </w:r>
      <w:r w:rsidRPr="003F67C9">
        <w:rPr>
          <w:rFonts w:asciiTheme="minorHAnsi" w:hAnsiTheme="minorHAnsi" w:cs="Arial"/>
          <w:sz w:val="22"/>
          <w:szCs w:val="22"/>
        </w:rPr>
        <w:t xml:space="preserve"> consumers in 24 counties participated in home food preservation classes. </w:t>
      </w:r>
    </w:p>
    <w:p w:rsidR="00F42AED" w:rsidRPr="003F67C9" w:rsidRDefault="00F42AED" w:rsidP="00F42AED">
      <w:pPr>
        <w:pStyle w:val="NormalWeb"/>
        <w:spacing w:after="240" w:afterAutospacing="0"/>
        <w:rPr>
          <w:rFonts w:asciiTheme="minorHAnsi" w:hAnsiTheme="minorHAnsi"/>
          <w:sz w:val="22"/>
          <w:szCs w:val="22"/>
        </w:rPr>
      </w:pPr>
      <w:r w:rsidRPr="003F67C9">
        <w:rPr>
          <w:rFonts w:asciiTheme="minorHAnsi" w:hAnsiTheme="minorHAnsi"/>
          <w:sz w:val="22"/>
          <w:szCs w:val="22"/>
        </w:rPr>
        <w:t xml:space="preserve">The 153 individuals that participated in </w:t>
      </w:r>
      <w:r w:rsidRPr="003F67C9">
        <w:rPr>
          <w:rFonts w:asciiTheme="minorHAnsi" w:hAnsiTheme="minorHAnsi"/>
          <w:b/>
          <w:sz w:val="22"/>
          <w:szCs w:val="22"/>
        </w:rPr>
        <w:t>Maine</w:t>
      </w:r>
      <w:r w:rsidRPr="003F67C9">
        <w:rPr>
          <w:rFonts w:asciiTheme="minorHAnsi" w:hAnsiTheme="minorHAnsi"/>
          <w:sz w:val="22"/>
          <w:szCs w:val="22"/>
        </w:rPr>
        <w:t xml:space="preserve">’s </w:t>
      </w:r>
      <w:proofErr w:type="gramStart"/>
      <w:r w:rsidRPr="0043410D">
        <w:rPr>
          <w:rFonts w:asciiTheme="minorHAnsi" w:hAnsiTheme="minorHAnsi"/>
          <w:i/>
          <w:sz w:val="22"/>
          <w:szCs w:val="22"/>
        </w:rPr>
        <w:t>Cooking</w:t>
      </w:r>
      <w:proofErr w:type="gramEnd"/>
      <w:r w:rsidRPr="0043410D">
        <w:rPr>
          <w:rFonts w:asciiTheme="minorHAnsi" w:hAnsiTheme="minorHAnsi"/>
          <w:i/>
          <w:sz w:val="22"/>
          <w:szCs w:val="22"/>
        </w:rPr>
        <w:t xml:space="preserve"> for Crowds</w:t>
      </w:r>
      <w:r w:rsidRPr="003F67C9">
        <w:rPr>
          <w:rFonts w:asciiTheme="minorHAnsi" w:hAnsiTheme="minorHAnsi"/>
          <w:sz w:val="22"/>
          <w:szCs w:val="22"/>
        </w:rPr>
        <w:t xml:space="preserve"> workshops learned how to reduce food borne illness through safe food handling techniques. </w:t>
      </w:r>
      <w:r w:rsidRPr="003F67C9">
        <w:rPr>
          <w:rFonts w:asciiTheme="minorHAnsi" w:hAnsiTheme="minorHAnsi"/>
          <w:b/>
          <w:sz w:val="22"/>
          <w:szCs w:val="22"/>
        </w:rPr>
        <w:t xml:space="preserve">Georgia </w:t>
      </w:r>
      <w:r w:rsidRPr="003F67C9">
        <w:rPr>
          <w:rFonts w:asciiTheme="minorHAnsi" w:hAnsiTheme="minorHAnsi"/>
          <w:sz w:val="22"/>
          <w:szCs w:val="22"/>
        </w:rPr>
        <w:t xml:space="preserve">provided over 354 hours of food preservation classes and reached over 2100 adults and youth. </w:t>
      </w:r>
    </w:p>
    <w:p w:rsidR="00F42AED" w:rsidRPr="003F67C9" w:rsidRDefault="00F42AED" w:rsidP="00F42AED">
      <w:pPr>
        <w:pStyle w:val="NormalWeb"/>
        <w:spacing w:after="240" w:afterAutospacing="0"/>
        <w:rPr>
          <w:rFonts w:asciiTheme="minorHAnsi" w:hAnsiTheme="minorHAnsi"/>
          <w:sz w:val="22"/>
          <w:szCs w:val="22"/>
        </w:rPr>
      </w:pPr>
      <w:r w:rsidRPr="003F67C9">
        <w:rPr>
          <w:rFonts w:asciiTheme="minorHAnsi" w:hAnsiTheme="minorHAnsi" w:cs="Arial"/>
          <w:sz w:val="22"/>
          <w:szCs w:val="22"/>
        </w:rPr>
        <w:t xml:space="preserve">In </w:t>
      </w:r>
      <w:r w:rsidRPr="003F67C9">
        <w:rPr>
          <w:rFonts w:asciiTheme="minorHAnsi" w:hAnsiTheme="minorHAnsi" w:cs="Arial"/>
          <w:b/>
          <w:sz w:val="22"/>
          <w:szCs w:val="22"/>
        </w:rPr>
        <w:t xml:space="preserve">New York, </w:t>
      </w:r>
      <w:r w:rsidRPr="003F67C9">
        <w:rPr>
          <w:rFonts w:asciiTheme="minorHAnsi" w:hAnsiTheme="minorHAnsi" w:cs="Arial"/>
          <w:sz w:val="22"/>
          <w:szCs w:val="22"/>
        </w:rPr>
        <w:t>132</w:t>
      </w:r>
      <w:r w:rsidRPr="003F67C9">
        <w:rPr>
          <w:rFonts w:asciiTheme="minorHAnsi" w:hAnsiTheme="minorHAnsi" w:cs="Arial"/>
          <w:b/>
          <w:sz w:val="22"/>
          <w:szCs w:val="22"/>
        </w:rPr>
        <w:t xml:space="preserve"> </w:t>
      </w:r>
      <w:r w:rsidRPr="003F67C9">
        <w:rPr>
          <w:rFonts w:asciiTheme="minorHAnsi" w:hAnsiTheme="minorHAnsi" w:cs="Arial"/>
          <w:sz w:val="22"/>
          <w:szCs w:val="22"/>
        </w:rPr>
        <w:t xml:space="preserve">Master Food Preservers were trained and 114 </w:t>
      </w:r>
      <w:r w:rsidRPr="003F67C9">
        <w:rPr>
          <w:rFonts w:asciiTheme="minorHAnsi" w:hAnsiTheme="minorHAnsi"/>
          <w:sz w:val="22"/>
          <w:szCs w:val="22"/>
        </w:rPr>
        <w:t>food preservation classes attracted 1,278 atten</w:t>
      </w:r>
      <w:r w:rsidR="00543257">
        <w:rPr>
          <w:rFonts w:asciiTheme="minorHAnsi" w:hAnsiTheme="minorHAnsi"/>
          <w:sz w:val="22"/>
          <w:szCs w:val="22"/>
        </w:rPr>
        <w:t>dees. Likewise</w:t>
      </w:r>
      <w:r w:rsidRPr="003F67C9">
        <w:rPr>
          <w:rFonts w:asciiTheme="minorHAnsi" w:hAnsiTheme="minorHAnsi"/>
          <w:sz w:val="22"/>
          <w:szCs w:val="22"/>
        </w:rPr>
        <w:t xml:space="preserve">, 434 new and veteran Master Food Preserver volunteers in </w:t>
      </w:r>
      <w:r w:rsidRPr="003F67C9">
        <w:rPr>
          <w:rFonts w:asciiTheme="minorHAnsi" w:hAnsiTheme="minorHAnsi"/>
          <w:b/>
          <w:sz w:val="22"/>
          <w:szCs w:val="22"/>
        </w:rPr>
        <w:t>Oregon</w:t>
      </w:r>
      <w:r w:rsidRPr="003F67C9">
        <w:rPr>
          <w:rFonts w:asciiTheme="minorHAnsi" w:hAnsiTheme="minorHAnsi"/>
          <w:sz w:val="22"/>
          <w:szCs w:val="22"/>
        </w:rPr>
        <w:t xml:space="preserve"> contributed over 39,670 hours in 14 counties making 420,612 </w:t>
      </w:r>
    </w:p>
    <w:p w:rsidR="00F42AED" w:rsidRPr="003F67C9" w:rsidRDefault="00F42AED" w:rsidP="00F42AED">
      <w:pPr>
        <w:pStyle w:val="NormalWeb"/>
        <w:spacing w:after="240" w:afterAutospacing="0"/>
        <w:rPr>
          <w:rFonts w:asciiTheme="minorHAnsi" w:hAnsiTheme="minorHAnsi"/>
          <w:sz w:val="22"/>
          <w:szCs w:val="22"/>
        </w:rPr>
      </w:pPr>
      <w:r w:rsidRPr="003F67C9">
        <w:rPr>
          <w:rFonts w:asciiTheme="minorHAnsi" w:hAnsiTheme="minorHAnsi"/>
          <w:noProof/>
          <w:sz w:val="22"/>
          <w:szCs w:val="22"/>
        </w:rPr>
        <w:drawing>
          <wp:anchor distT="0" distB="0" distL="114300" distR="114300" simplePos="0" relativeHeight="251669504" behindDoc="0" locked="0" layoutInCell="1" allowOverlap="1" wp14:anchorId="6E17A3AD" wp14:editId="1BEF179D">
            <wp:simplePos x="0" y="0"/>
            <wp:positionH relativeFrom="column">
              <wp:posOffset>1784985</wp:posOffset>
            </wp:positionH>
            <wp:positionV relativeFrom="paragraph">
              <wp:posOffset>12700</wp:posOffset>
            </wp:positionV>
            <wp:extent cx="5143500" cy="438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176"/>
        <w:tblW w:w="10801" w:type="dxa"/>
        <w:tblLayout w:type="fixed"/>
        <w:tblCellMar>
          <w:left w:w="0" w:type="dxa"/>
          <w:right w:w="0" w:type="dxa"/>
        </w:tblCellMar>
        <w:tblLook w:val="01E0" w:firstRow="1" w:lastRow="1" w:firstColumn="1" w:lastColumn="1" w:noHBand="0" w:noVBand="0"/>
      </w:tblPr>
      <w:tblGrid>
        <w:gridCol w:w="3746"/>
        <w:gridCol w:w="3184"/>
        <w:gridCol w:w="3871"/>
      </w:tblGrid>
      <w:tr w:rsidR="00F42AED" w:rsidRPr="003F67C9" w:rsidTr="00FD7103">
        <w:trPr>
          <w:trHeight w:hRule="exact" w:val="434"/>
        </w:trPr>
        <w:tc>
          <w:tcPr>
            <w:tcW w:w="3746" w:type="dxa"/>
            <w:tcBorders>
              <w:top w:val="nil"/>
              <w:left w:val="nil"/>
              <w:bottom w:val="nil"/>
              <w:right w:val="nil"/>
            </w:tcBorders>
            <w:shd w:val="clear" w:color="auto" w:fill="2756A2"/>
          </w:tcPr>
          <w:p w:rsidR="00F42AED" w:rsidRPr="003F67C9" w:rsidRDefault="00F42AED" w:rsidP="00F42AED">
            <w:pPr>
              <w:pStyle w:val="TableParagraph"/>
              <w:spacing w:before="145"/>
              <w:ind w:left="1226"/>
              <w:rPr>
                <w:rFonts w:eastAsia="Arial Narrow" w:cs="Arial Narrow"/>
              </w:rPr>
            </w:pPr>
            <w:r w:rsidRPr="003F67C9">
              <w:rPr>
                <w:b/>
                <w:color w:val="FFFFFF"/>
                <w:spacing w:val="-1"/>
              </w:rPr>
              <w:t>NEAFCS</w:t>
            </w:r>
            <w:r w:rsidRPr="003F67C9">
              <w:rPr>
                <w:b/>
                <w:color w:val="FFFFFF"/>
                <w:spacing w:val="-10"/>
              </w:rPr>
              <w:t xml:space="preserve"> </w:t>
            </w:r>
            <w:r w:rsidRPr="003F67C9">
              <w:rPr>
                <w:b/>
                <w:color w:val="FFFFFF"/>
              </w:rPr>
              <w:t>National</w:t>
            </w:r>
            <w:r w:rsidRPr="003F67C9">
              <w:rPr>
                <w:b/>
                <w:color w:val="FFFFFF"/>
                <w:spacing w:val="-9"/>
              </w:rPr>
              <w:t xml:space="preserve"> </w:t>
            </w:r>
            <w:r w:rsidRPr="003F67C9">
              <w:rPr>
                <w:b/>
                <w:color w:val="FFFFFF"/>
              </w:rPr>
              <w:t>Office</w:t>
            </w:r>
          </w:p>
        </w:tc>
        <w:tc>
          <w:tcPr>
            <w:tcW w:w="3184" w:type="dxa"/>
            <w:tcBorders>
              <w:top w:val="nil"/>
              <w:left w:val="nil"/>
              <w:bottom w:val="nil"/>
              <w:right w:val="nil"/>
            </w:tcBorders>
            <w:shd w:val="clear" w:color="auto" w:fill="2756A2"/>
          </w:tcPr>
          <w:p w:rsidR="00F42AED" w:rsidRPr="003F67C9" w:rsidRDefault="00F42AED" w:rsidP="00F42AED">
            <w:pPr>
              <w:pStyle w:val="TableParagraph"/>
              <w:spacing w:before="145"/>
              <w:ind w:left="361"/>
              <w:rPr>
                <w:rFonts w:eastAsia="Arial Narrow" w:cs="Arial Narrow"/>
              </w:rPr>
            </w:pPr>
            <w:r w:rsidRPr="003F67C9">
              <w:rPr>
                <w:b/>
                <w:color w:val="FFFFFF"/>
              </w:rPr>
              <w:t>20423</w:t>
            </w:r>
            <w:r w:rsidRPr="003F67C9">
              <w:rPr>
                <w:b/>
                <w:color w:val="FFFFFF"/>
                <w:spacing w:val="-5"/>
              </w:rPr>
              <w:t xml:space="preserve"> </w:t>
            </w:r>
            <w:r w:rsidRPr="003F67C9">
              <w:rPr>
                <w:b/>
                <w:color w:val="FFFFFF"/>
              </w:rPr>
              <w:t>State</w:t>
            </w:r>
            <w:r w:rsidRPr="003F67C9">
              <w:rPr>
                <w:b/>
                <w:color w:val="FFFFFF"/>
                <w:spacing w:val="-5"/>
              </w:rPr>
              <w:t xml:space="preserve"> </w:t>
            </w:r>
            <w:r w:rsidRPr="003F67C9">
              <w:rPr>
                <w:b/>
                <w:color w:val="FFFFFF"/>
              </w:rPr>
              <w:t>Road</w:t>
            </w:r>
            <w:r w:rsidRPr="003F67C9">
              <w:rPr>
                <w:b/>
                <w:color w:val="FFFFFF"/>
                <w:spacing w:val="-4"/>
              </w:rPr>
              <w:t xml:space="preserve"> </w:t>
            </w:r>
            <w:r w:rsidRPr="003F67C9">
              <w:rPr>
                <w:b/>
                <w:color w:val="FFFFFF"/>
              </w:rPr>
              <w:t>7,</w:t>
            </w:r>
            <w:r w:rsidRPr="003F67C9">
              <w:rPr>
                <w:b/>
                <w:color w:val="FFFFFF"/>
                <w:spacing w:val="-5"/>
              </w:rPr>
              <w:t xml:space="preserve"> </w:t>
            </w:r>
            <w:r w:rsidRPr="003F67C9">
              <w:rPr>
                <w:b/>
                <w:color w:val="FFFFFF"/>
                <w:spacing w:val="-1"/>
              </w:rPr>
              <w:t>Suite</w:t>
            </w:r>
            <w:r w:rsidRPr="003F67C9">
              <w:rPr>
                <w:b/>
                <w:color w:val="FFFFFF"/>
                <w:spacing w:val="-5"/>
              </w:rPr>
              <w:t xml:space="preserve"> </w:t>
            </w:r>
            <w:r w:rsidRPr="003F67C9">
              <w:rPr>
                <w:b/>
                <w:color w:val="FFFFFF"/>
              </w:rPr>
              <w:t>F6-491</w:t>
            </w:r>
          </w:p>
        </w:tc>
        <w:tc>
          <w:tcPr>
            <w:tcW w:w="3871" w:type="dxa"/>
            <w:tcBorders>
              <w:top w:val="nil"/>
              <w:left w:val="nil"/>
              <w:bottom w:val="nil"/>
              <w:right w:val="nil"/>
            </w:tcBorders>
            <w:shd w:val="clear" w:color="auto" w:fill="2756A2"/>
          </w:tcPr>
          <w:p w:rsidR="00F42AED" w:rsidRPr="003F67C9" w:rsidRDefault="00F42AED" w:rsidP="00F42AED">
            <w:pPr>
              <w:pStyle w:val="TableParagraph"/>
              <w:spacing w:before="145"/>
              <w:ind w:left="160"/>
              <w:rPr>
                <w:rFonts w:eastAsia="Arial Narrow" w:cs="Arial Narrow"/>
              </w:rPr>
            </w:pPr>
            <w:r w:rsidRPr="003F67C9">
              <w:rPr>
                <w:b/>
                <w:color w:val="FFFFFF"/>
                <w:spacing w:val="-1"/>
              </w:rPr>
              <w:t>Boca</w:t>
            </w:r>
            <w:r w:rsidRPr="003F67C9">
              <w:rPr>
                <w:b/>
                <w:color w:val="FFFFFF"/>
                <w:spacing w:val="-4"/>
              </w:rPr>
              <w:t xml:space="preserve"> </w:t>
            </w:r>
            <w:r w:rsidRPr="003F67C9">
              <w:rPr>
                <w:b/>
                <w:color w:val="FFFFFF"/>
              </w:rPr>
              <w:t>Raton,</w:t>
            </w:r>
            <w:r w:rsidRPr="003F67C9">
              <w:rPr>
                <w:b/>
                <w:color w:val="FFFFFF"/>
                <w:spacing w:val="-4"/>
              </w:rPr>
              <w:t xml:space="preserve"> </w:t>
            </w:r>
            <w:r w:rsidRPr="003F67C9">
              <w:rPr>
                <w:b/>
                <w:color w:val="FFFFFF"/>
              </w:rPr>
              <w:t>FL</w:t>
            </w:r>
            <w:r w:rsidRPr="003F67C9">
              <w:rPr>
                <w:b/>
                <w:color w:val="FFFFFF"/>
                <w:spacing w:val="37"/>
              </w:rPr>
              <w:t xml:space="preserve"> </w:t>
            </w:r>
            <w:r w:rsidRPr="003F67C9">
              <w:rPr>
                <w:b/>
                <w:color w:val="FFFFFF"/>
              </w:rPr>
              <w:t>33498</w:t>
            </w:r>
          </w:p>
        </w:tc>
      </w:tr>
      <w:tr w:rsidR="00F42AED" w:rsidRPr="003F67C9" w:rsidTr="00FD7103">
        <w:trPr>
          <w:trHeight w:hRule="exact" w:val="416"/>
        </w:trPr>
        <w:tc>
          <w:tcPr>
            <w:tcW w:w="3746" w:type="dxa"/>
            <w:tcBorders>
              <w:top w:val="nil"/>
              <w:left w:val="nil"/>
              <w:bottom w:val="nil"/>
              <w:right w:val="nil"/>
            </w:tcBorders>
            <w:shd w:val="clear" w:color="auto" w:fill="2756A2"/>
          </w:tcPr>
          <w:p w:rsidR="00F42AED" w:rsidRPr="003F67C9" w:rsidRDefault="00F42AED" w:rsidP="00F42AED">
            <w:pPr>
              <w:pStyle w:val="TableParagraph"/>
              <w:spacing w:before="26"/>
              <w:ind w:left="2261"/>
              <w:rPr>
                <w:rFonts w:eastAsia="Arial Narrow" w:cs="Arial Narrow"/>
              </w:rPr>
            </w:pPr>
            <w:r w:rsidRPr="003F67C9">
              <w:rPr>
                <w:b/>
                <w:color w:val="FFFFFF"/>
              </w:rPr>
              <w:t>(561)</w:t>
            </w:r>
            <w:r w:rsidRPr="003F67C9">
              <w:rPr>
                <w:b/>
                <w:color w:val="FFFFFF"/>
                <w:spacing w:val="-11"/>
              </w:rPr>
              <w:t xml:space="preserve"> </w:t>
            </w:r>
            <w:r w:rsidRPr="003F67C9">
              <w:rPr>
                <w:b/>
                <w:color w:val="FFFFFF"/>
              </w:rPr>
              <w:t>477-8100</w:t>
            </w:r>
          </w:p>
        </w:tc>
        <w:tc>
          <w:tcPr>
            <w:tcW w:w="3184" w:type="dxa"/>
            <w:tcBorders>
              <w:top w:val="nil"/>
              <w:left w:val="nil"/>
              <w:bottom w:val="nil"/>
              <w:right w:val="nil"/>
            </w:tcBorders>
            <w:shd w:val="clear" w:color="auto" w:fill="2756A2"/>
          </w:tcPr>
          <w:p w:rsidR="00F42AED" w:rsidRPr="003F67C9" w:rsidRDefault="00F42AED" w:rsidP="00F42AED">
            <w:pPr>
              <w:pStyle w:val="TableParagraph"/>
              <w:spacing w:before="26"/>
              <w:ind w:left="675"/>
              <w:rPr>
                <w:rFonts w:eastAsia="Arial Narrow" w:cs="Arial Narrow"/>
              </w:rPr>
            </w:pPr>
            <w:r w:rsidRPr="003F67C9">
              <w:rPr>
                <w:b/>
                <w:color w:val="FFFFFF"/>
              </w:rPr>
              <w:t>FAX</w:t>
            </w:r>
            <w:r w:rsidRPr="003F67C9">
              <w:rPr>
                <w:b/>
                <w:color w:val="FFFFFF"/>
                <w:spacing w:val="-9"/>
              </w:rPr>
              <w:t xml:space="preserve"> </w:t>
            </w:r>
            <w:r w:rsidRPr="003F67C9">
              <w:rPr>
                <w:b/>
                <w:color w:val="FFFFFF"/>
              </w:rPr>
              <w:t>(561)</w:t>
            </w:r>
            <w:r w:rsidRPr="003F67C9">
              <w:rPr>
                <w:b/>
                <w:color w:val="FFFFFF"/>
                <w:spacing w:val="-8"/>
              </w:rPr>
              <w:t xml:space="preserve"> </w:t>
            </w:r>
            <w:r w:rsidRPr="003F67C9">
              <w:rPr>
                <w:b/>
                <w:color w:val="FFFFFF"/>
              </w:rPr>
              <w:t>910-0896</w:t>
            </w:r>
          </w:p>
        </w:tc>
        <w:tc>
          <w:tcPr>
            <w:tcW w:w="3871" w:type="dxa"/>
            <w:tcBorders>
              <w:top w:val="nil"/>
              <w:left w:val="nil"/>
              <w:bottom w:val="nil"/>
              <w:right w:val="nil"/>
            </w:tcBorders>
            <w:shd w:val="clear" w:color="auto" w:fill="2756A2"/>
          </w:tcPr>
          <w:p w:rsidR="00F42AED" w:rsidRPr="003F67C9" w:rsidRDefault="00FD7103" w:rsidP="00F42AED">
            <w:pPr>
              <w:pStyle w:val="TableParagraph"/>
              <w:spacing w:before="26"/>
              <w:ind w:left="481"/>
              <w:rPr>
                <w:rFonts w:eastAsia="Arial Narrow" w:cs="Arial Narrow"/>
              </w:rPr>
            </w:pPr>
            <w:hyperlink r:id="rId13">
              <w:r w:rsidR="00F42AED" w:rsidRPr="003F67C9">
                <w:rPr>
                  <w:b/>
                  <w:color w:val="FFFFFF"/>
                  <w:spacing w:val="-1"/>
                </w:rPr>
                <w:t>www.neafcs.org</w:t>
              </w:r>
            </w:hyperlink>
          </w:p>
        </w:tc>
      </w:tr>
    </w:tbl>
    <w:p w:rsidR="00F42AED" w:rsidRPr="003F67C9" w:rsidRDefault="00F42AED" w:rsidP="00F42AED">
      <w:pPr>
        <w:pStyle w:val="NormalWeb"/>
        <w:spacing w:after="240" w:afterAutospacing="0"/>
        <w:rPr>
          <w:rFonts w:asciiTheme="minorHAnsi" w:hAnsiTheme="minorHAnsi"/>
          <w:sz w:val="22"/>
          <w:szCs w:val="22"/>
        </w:rPr>
      </w:pPr>
      <w:proofErr w:type="gramStart"/>
      <w:r w:rsidRPr="003F67C9">
        <w:rPr>
          <w:rFonts w:asciiTheme="minorHAnsi" w:hAnsiTheme="minorHAnsi"/>
          <w:sz w:val="22"/>
          <w:szCs w:val="22"/>
        </w:rPr>
        <w:lastRenderedPageBreak/>
        <w:t>contacts</w:t>
      </w:r>
      <w:proofErr w:type="gramEnd"/>
      <w:r w:rsidRPr="003F67C9">
        <w:rPr>
          <w:rFonts w:asciiTheme="minorHAnsi" w:hAnsiTheme="minorHAnsi"/>
          <w:sz w:val="22"/>
          <w:szCs w:val="22"/>
        </w:rPr>
        <w:t xml:space="preserve"> by phone, at workshops, county fairs, farmer's markets, other events, media interviews</w:t>
      </w:r>
      <w:r w:rsidR="0043410D">
        <w:rPr>
          <w:rFonts w:asciiTheme="minorHAnsi" w:hAnsiTheme="minorHAnsi"/>
          <w:sz w:val="22"/>
          <w:szCs w:val="22"/>
        </w:rPr>
        <w:t>,</w:t>
      </w:r>
      <w:r w:rsidRPr="003F67C9">
        <w:rPr>
          <w:rFonts w:asciiTheme="minorHAnsi" w:hAnsiTheme="minorHAnsi"/>
          <w:sz w:val="22"/>
          <w:szCs w:val="22"/>
        </w:rPr>
        <w:t xml:space="preserve"> and public demonstrations. </w:t>
      </w:r>
    </w:p>
    <w:p w:rsidR="00F42AED" w:rsidRPr="003F67C9" w:rsidRDefault="00F42AED" w:rsidP="00F42AED">
      <w:pPr>
        <w:pStyle w:val="NormalWeb"/>
        <w:spacing w:after="0" w:afterAutospacing="0"/>
        <w:rPr>
          <w:rFonts w:asciiTheme="minorHAnsi" w:hAnsiTheme="minorHAnsi"/>
          <w:sz w:val="22"/>
          <w:szCs w:val="22"/>
        </w:rPr>
      </w:pPr>
      <w:r w:rsidRPr="003F67C9">
        <w:rPr>
          <w:rFonts w:asciiTheme="minorHAnsi" w:hAnsiTheme="minorHAnsi"/>
          <w:sz w:val="22"/>
          <w:szCs w:val="22"/>
        </w:rPr>
        <w:t xml:space="preserve">Thirty-five food preservation classes provided 296 </w:t>
      </w:r>
      <w:r w:rsidRPr="003F67C9">
        <w:rPr>
          <w:rFonts w:asciiTheme="minorHAnsi" w:hAnsiTheme="minorHAnsi"/>
          <w:b/>
          <w:sz w:val="22"/>
          <w:szCs w:val="22"/>
        </w:rPr>
        <w:t>Wyoming</w:t>
      </w:r>
      <w:r w:rsidRPr="003F67C9">
        <w:rPr>
          <w:rFonts w:asciiTheme="minorHAnsi" w:hAnsiTheme="minorHAnsi"/>
          <w:sz w:val="22"/>
          <w:szCs w:val="22"/>
        </w:rPr>
        <w:t xml:space="preserve"> residents with proper food preservation techniques at high elevation</w:t>
      </w:r>
      <w:r w:rsidR="00543257">
        <w:rPr>
          <w:rFonts w:asciiTheme="minorHAnsi" w:hAnsiTheme="minorHAnsi"/>
          <w:sz w:val="22"/>
          <w:szCs w:val="22"/>
        </w:rPr>
        <w:t>.</w:t>
      </w:r>
    </w:p>
    <w:p w:rsidR="00F42AED" w:rsidRPr="001503C6" w:rsidRDefault="00F42AED" w:rsidP="00F42AED">
      <w:pPr>
        <w:pStyle w:val="NormalWeb"/>
        <w:spacing w:after="240" w:afterAutospacing="0"/>
        <w:rPr>
          <w:rFonts w:asciiTheme="minorHAnsi" w:hAnsiTheme="minorHAnsi"/>
          <w:szCs w:val="22"/>
        </w:rPr>
      </w:pPr>
      <w:r w:rsidRPr="001503C6">
        <w:rPr>
          <w:rFonts w:asciiTheme="minorHAnsi" w:hAnsiTheme="minorHAnsi"/>
          <w:b/>
          <w:bCs/>
          <w:szCs w:val="22"/>
        </w:rPr>
        <w:t>Entrepreneurial Food Safety</w:t>
      </w:r>
    </w:p>
    <w:p w:rsidR="00F42AED" w:rsidRPr="003F67C9" w:rsidRDefault="00F42AED" w:rsidP="00F42AED">
      <w:pPr>
        <w:rPr>
          <w:rFonts w:cs="Arial"/>
        </w:rPr>
      </w:pPr>
      <w:r w:rsidRPr="003F67C9">
        <w:rPr>
          <w:rFonts w:cs="Arial"/>
        </w:rPr>
        <w:t xml:space="preserve">A Food Preservation Basics Train-the-Trainer for Tribal Colleges and Communities workshop provided resources and local expertise to five </w:t>
      </w:r>
      <w:r w:rsidRPr="003F67C9">
        <w:rPr>
          <w:rFonts w:cs="Arial"/>
          <w:b/>
        </w:rPr>
        <w:t xml:space="preserve">Minnesota </w:t>
      </w:r>
      <w:r w:rsidRPr="003F67C9">
        <w:rPr>
          <w:rFonts w:cs="Arial"/>
        </w:rPr>
        <w:t xml:space="preserve">Native American communities.  </w:t>
      </w:r>
      <w:r w:rsidRPr="003F67C9">
        <w:rPr>
          <w:rFonts w:cs="Arial"/>
          <w:b/>
        </w:rPr>
        <w:t xml:space="preserve">Minnesota </w:t>
      </w:r>
      <w:r w:rsidRPr="003F67C9">
        <w:rPr>
          <w:rFonts w:cs="Arial"/>
        </w:rPr>
        <w:t xml:space="preserve">educators also presented entrepreneurs and market vendors with classes on pickle safety, jam/jelly making &amp; marketing, and produce preservation tips aimed at customers. </w:t>
      </w:r>
    </w:p>
    <w:p w:rsidR="00F42AED" w:rsidRPr="003F67C9" w:rsidRDefault="00F42AED" w:rsidP="00F42AED">
      <w:pPr>
        <w:rPr>
          <w:rFonts w:cs="Arial"/>
        </w:rPr>
      </w:pPr>
    </w:p>
    <w:p w:rsidR="006476E8" w:rsidRDefault="001503C6" w:rsidP="00F42AED">
      <w:pPr>
        <w:rPr>
          <w:rFonts w:cs="Arial"/>
        </w:rPr>
      </w:pPr>
      <w:r>
        <w:rPr>
          <w:noProof/>
        </w:rPr>
        <mc:AlternateContent>
          <mc:Choice Requires="wps">
            <w:drawing>
              <wp:anchor distT="0" distB="0" distL="114300" distR="114300" simplePos="0" relativeHeight="251671552" behindDoc="0" locked="0" layoutInCell="1" allowOverlap="1" wp14:anchorId="7FF1667B" wp14:editId="6AF5782A">
                <wp:simplePos x="0" y="0"/>
                <wp:positionH relativeFrom="column">
                  <wp:posOffset>-110490</wp:posOffset>
                </wp:positionH>
                <wp:positionV relativeFrom="paragraph">
                  <wp:posOffset>29845</wp:posOffset>
                </wp:positionV>
                <wp:extent cx="3339465" cy="1409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409700"/>
                        </a:xfrm>
                        <a:prstGeom prst="rect">
                          <a:avLst/>
                        </a:prstGeom>
                        <a:noFill/>
                        <a:ln w="9525">
                          <a:noFill/>
                          <a:miter lim="800000"/>
                          <a:headEnd/>
                          <a:tailEnd/>
                        </a:ln>
                      </wps:spPr>
                      <wps:txbx>
                        <w:txbxContent>
                          <w:p w:rsidR="00644488" w:rsidRDefault="00F42AED" w:rsidP="00644488">
                            <w:pPr>
                              <w:jc w:val="center"/>
                              <w:rPr>
                                <w:rFonts w:cs="Arial"/>
                                <w:b/>
                                <w:color w:val="365F91" w:themeColor="accent1" w:themeShade="BF"/>
                                <w:sz w:val="24"/>
                                <w:szCs w:val="24"/>
                              </w:rPr>
                            </w:pPr>
                            <w:r w:rsidRPr="00F42AED">
                              <w:rPr>
                                <w:rFonts w:cs="Arial"/>
                                <w:b/>
                                <w:color w:val="365F91" w:themeColor="accent1" w:themeShade="BF"/>
                                <w:sz w:val="24"/>
                                <w:szCs w:val="24"/>
                              </w:rPr>
                              <w:t xml:space="preserve">“I was naive to the dangers that food posed and the many practices that could be used to make sure food was safe. The course was a wonderful learning experience and I would even recommend it to people who just cook in their kitchen.” </w:t>
                            </w:r>
                            <w:r w:rsidR="00644488">
                              <w:rPr>
                                <w:rFonts w:cs="Arial"/>
                                <w:b/>
                                <w:color w:val="365F91" w:themeColor="accent1" w:themeShade="BF"/>
                                <w:sz w:val="24"/>
                                <w:szCs w:val="24"/>
                              </w:rPr>
                              <w:t>–</w:t>
                            </w:r>
                            <w:r w:rsidRPr="00F42AED">
                              <w:rPr>
                                <w:rFonts w:cs="Arial"/>
                                <w:b/>
                                <w:color w:val="365F91" w:themeColor="accent1" w:themeShade="BF"/>
                                <w:sz w:val="24"/>
                                <w:szCs w:val="24"/>
                              </w:rPr>
                              <w:t xml:space="preserve"> </w:t>
                            </w:r>
                            <w:r w:rsidR="00644488">
                              <w:rPr>
                                <w:rFonts w:cs="Arial"/>
                                <w:b/>
                                <w:color w:val="365F91" w:themeColor="accent1" w:themeShade="BF"/>
                                <w:sz w:val="24"/>
                                <w:szCs w:val="24"/>
                              </w:rPr>
                              <w:t xml:space="preserve">Minnesota </w:t>
                            </w:r>
                            <w:r w:rsidRPr="00F42AED">
                              <w:rPr>
                                <w:rFonts w:cs="Arial"/>
                                <w:b/>
                                <w:color w:val="365F91" w:themeColor="accent1" w:themeShade="BF"/>
                                <w:sz w:val="24"/>
                                <w:szCs w:val="24"/>
                              </w:rPr>
                              <w:t>School</w:t>
                            </w:r>
                          </w:p>
                          <w:p w:rsidR="00F42AED" w:rsidRPr="00F42AED" w:rsidRDefault="00F42AED" w:rsidP="00644488">
                            <w:pPr>
                              <w:jc w:val="center"/>
                              <w:rPr>
                                <w:rFonts w:cs="Arial"/>
                                <w:b/>
                                <w:color w:val="365F91" w:themeColor="accent1" w:themeShade="BF"/>
                                <w:sz w:val="24"/>
                                <w:szCs w:val="24"/>
                              </w:rPr>
                            </w:pPr>
                            <w:r w:rsidRPr="00F42AED">
                              <w:rPr>
                                <w:rFonts w:cs="Arial"/>
                                <w:b/>
                                <w:color w:val="365F91" w:themeColor="accent1" w:themeShade="BF"/>
                                <w:sz w:val="24"/>
                                <w:szCs w:val="24"/>
                              </w:rPr>
                              <w:t>Food Service Director</w:t>
                            </w:r>
                          </w:p>
                          <w:p w:rsidR="00F42AED" w:rsidRDefault="00F42AED" w:rsidP="00F42A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7pt;margin-top:2.35pt;width:262.95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" filled="f" stroked="f">
                <v:textbox>
                  <w:txbxContent>
                    <w:p w:rsidR="00644488" w:rsidRDefault="00F42AED" w:rsidP="00644488">
                      <w:pPr>
                        <w:jc w:val="center"/>
                        <w:rPr>
                          <w:rFonts w:cs="Arial"/>
                          <w:b/>
                          <w:color w:val="365F91" w:themeColor="accent1" w:themeShade="BF"/>
                          <w:sz w:val="24"/>
                          <w:szCs w:val="24"/>
                        </w:rPr>
                      </w:pPr>
                      <w:r w:rsidRPr="00F42AED">
                        <w:rPr>
                          <w:rFonts w:cs="Arial"/>
                          <w:b/>
                          <w:color w:val="365F91" w:themeColor="accent1" w:themeShade="BF"/>
                          <w:sz w:val="24"/>
                          <w:szCs w:val="24"/>
                        </w:rPr>
                        <w:t xml:space="preserve">“I was naive to the dangers that food posed and the many practices that could be used to make sure food was safe. The course was a wonderful learning experience and I would even recommend it to people who just cook in their kitchen.” </w:t>
                      </w:r>
                      <w:r w:rsidR="00644488">
                        <w:rPr>
                          <w:rFonts w:cs="Arial"/>
                          <w:b/>
                          <w:color w:val="365F91" w:themeColor="accent1" w:themeShade="BF"/>
                          <w:sz w:val="24"/>
                          <w:szCs w:val="24"/>
                        </w:rPr>
                        <w:t>–</w:t>
                      </w:r>
                      <w:r w:rsidRPr="00F42AED">
                        <w:rPr>
                          <w:rFonts w:cs="Arial"/>
                          <w:b/>
                          <w:color w:val="365F91" w:themeColor="accent1" w:themeShade="BF"/>
                          <w:sz w:val="24"/>
                          <w:szCs w:val="24"/>
                        </w:rPr>
                        <w:t xml:space="preserve"> </w:t>
                      </w:r>
                      <w:r w:rsidR="00644488">
                        <w:rPr>
                          <w:rFonts w:cs="Arial"/>
                          <w:b/>
                          <w:color w:val="365F91" w:themeColor="accent1" w:themeShade="BF"/>
                          <w:sz w:val="24"/>
                          <w:szCs w:val="24"/>
                        </w:rPr>
                        <w:t xml:space="preserve">Minnesota </w:t>
                      </w:r>
                      <w:r w:rsidRPr="00F42AED">
                        <w:rPr>
                          <w:rFonts w:cs="Arial"/>
                          <w:b/>
                          <w:color w:val="365F91" w:themeColor="accent1" w:themeShade="BF"/>
                          <w:sz w:val="24"/>
                          <w:szCs w:val="24"/>
                        </w:rPr>
                        <w:t>School</w:t>
                      </w:r>
                    </w:p>
                    <w:p w:rsidR="00F42AED" w:rsidRPr="00F42AED" w:rsidRDefault="00F42AED" w:rsidP="00644488">
                      <w:pPr>
                        <w:jc w:val="center"/>
                        <w:rPr>
                          <w:rFonts w:cs="Arial"/>
                          <w:b/>
                          <w:color w:val="365F91" w:themeColor="accent1" w:themeShade="BF"/>
                          <w:sz w:val="24"/>
                          <w:szCs w:val="24"/>
                        </w:rPr>
                      </w:pPr>
                      <w:r w:rsidRPr="00F42AED">
                        <w:rPr>
                          <w:rFonts w:cs="Arial"/>
                          <w:b/>
                          <w:color w:val="365F91" w:themeColor="accent1" w:themeShade="BF"/>
                          <w:sz w:val="24"/>
                          <w:szCs w:val="24"/>
                        </w:rPr>
                        <w:t>Food Service Director</w:t>
                      </w:r>
                    </w:p>
                    <w:p w:rsidR="00F42AED" w:rsidRDefault="00F42AED" w:rsidP="00F42AED"/>
                  </w:txbxContent>
                </v:textbox>
              </v:shape>
            </w:pict>
          </mc:Fallback>
        </mc:AlternateContent>
      </w:r>
    </w:p>
    <w:p w:rsidR="006476E8" w:rsidRDefault="006476E8" w:rsidP="00F42AED">
      <w:pPr>
        <w:rPr>
          <w:rFonts w:cs="Arial"/>
        </w:rPr>
      </w:pPr>
    </w:p>
    <w:p w:rsidR="006476E8" w:rsidRDefault="006476E8" w:rsidP="00F42AED">
      <w:pPr>
        <w:rPr>
          <w:rFonts w:cs="Arial"/>
        </w:rPr>
      </w:pPr>
    </w:p>
    <w:p w:rsidR="006476E8" w:rsidRDefault="006476E8" w:rsidP="00F42AED">
      <w:pPr>
        <w:rPr>
          <w:rFonts w:cs="Arial"/>
        </w:rPr>
      </w:pPr>
    </w:p>
    <w:p w:rsidR="006476E8" w:rsidRDefault="006476E8" w:rsidP="00F42AED">
      <w:pPr>
        <w:rPr>
          <w:rFonts w:cs="Arial"/>
        </w:rPr>
      </w:pPr>
    </w:p>
    <w:p w:rsidR="006476E8" w:rsidRDefault="006476E8" w:rsidP="00F42AED">
      <w:pPr>
        <w:rPr>
          <w:rFonts w:cs="Arial"/>
        </w:rPr>
      </w:pPr>
    </w:p>
    <w:p w:rsidR="006476E8" w:rsidRDefault="006476E8" w:rsidP="00F42AED">
      <w:pPr>
        <w:rPr>
          <w:rFonts w:cs="Arial"/>
        </w:rPr>
      </w:pPr>
    </w:p>
    <w:p w:rsidR="006476E8" w:rsidRDefault="006476E8" w:rsidP="00F42AED">
      <w:pPr>
        <w:rPr>
          <w:rFonts w:cs="Arial"/>
        </w:rPr>
      </w:pPr>
    </w:p>
    <w:p w:rsidR="001503C6" w:rsidRDefault="001503C6" w:rsidP="00F42AED">
      <w:pPr>
        <w:rPr>
          <w:rFonts w:cs="Arial"/>
          <w:b/>
        </w:rPr>
      </w:pPr>
    </w:p>
    <w:p w:rsidR="00212BBF" w:rsidRDefault="00E9288A" w:rsidP="00F42AED">
      <w:pPr>
        <w:rPr>
          <w:rFonts w:cs="Arial"/>
        </w:rPr>
      </w:pPr>
      <w:r w:rsidRPr="00E9288A">
        <w:rPr>
          <w:rFonts w:cs="Arial"/>
          <w:b/>
        </w:rPr>
        <w:t>South Dakota</w:t>
      </w:r>
      <w:r>
        <w:rPr>
          <w:rFonts w:cs="Arial"/>
        </w:rPr>
        <w:t xml:space="preserve"> </w:t>
      </w:r>
      <w:r w:rsidR="00F42AED" w:rsidRPr="003F67C9">
        <w:rPr>
          <w:rFonts w:cs="Arial"/>
        </w:rPr>
        <w:t>FCS educators assisted more than 50</w:t>
      </w:r>
      <w:r w:rsidR="00F42AED" w:rsidRPr="003F67C9">
        <w:rPr>
          <w:rFonts w:cs="Arial"/>
          <w:b/>
        </w:rPr>
        <w:t xml:space="preserve"> </w:t>
      </w:r>
      <w:r w:rsidR="00F42AED" w:rsidRPr="003F67C9">
        <w:rPr>
          <w:rFonts w:cs="Arial"/>
        </w:rPr>
        <w:t xml:space="preserve">food processors expand their business by analyzing acidified food products for safety verification, and by creating </w:t>
      </w:r>
    </w:p>
    <w:p w:rsidR="00F42AED" w:rsidRPr="003F67C9" w:rsidRDefault="00F42AED" w:rsidP="00F42AED">
      <w:proofErr w:type="gramStart"/>
      <w:r w:rsidRPr="003F67C9">
        <w:rPr>
          <w:rFonts w:cs="Arial"/>
        </w:rPr>
        <w:t>nutrition</w:t>
      </w:r>
      <w:proofErr w:type="gramEnd"/>
      <w:r w:rsidRPr="003F67C9">
        <w:rPr>
          <w:rFonts w:cs="Arial"/>
        </w:rPr>
        <w:t xml:space="preserve"> facts panels and ingredient statements for over 50 food products. In </w:t>
      </w:r>
      <w:r w:rsidRPr="003F67C9">
        <w:rPr>
          <w:rFonts w:cs="Arial"/>
          <w:b/>
        </w:rPr>
        <w:t>Georgia,</w:t>
      </w:r>
      <w:r w:rsidRPr="003F67C9">
        <w:rPr>
          <w:rFonts w:cs="Arial"/>
        </w:rPr>
        <w:t xml:space="preserve"> 20 participants </w:t>
      </w:r>
      <w:r w:rsidRPr="003F67C9">
        <w:t xml:space="preserve">attended hands-on classes to explore cottage industry enterprises. </w:t>
      </w:r>
    </w:p>
    <w:p w:rsidR="00F42AED" w:rsidRPr="003F67C9" w:rsidRDefault="00F42AED" w:rsidP="00F42AED"/>
    <w:p w:rsidR="00D6309C" w:rsidRDefault="00D6309C" w:rsidP="00F42AED">
      <w:pPr>
        <w:rPr>
          <w:b/>
          <w:sz w:val="24"/>
        </w:rPr>
      </w:pPr>
    </w:p>
    <w:p w:rsidR="00F42AED" w:rsidRPr="001503C6" w:rsidRDefault="00F42AED" w:rsidP="00F42AED">
      <w:pPr>
        <w:rPr>
          <w:b/>
          <w:sz w:val="24"/>
        </w:rPr>
      </w:pPr>
      <w:r w:rsidRPr="001503C6">
        <w:rPr>
          <w:b/>
          <w:sz w:val="24"/>
        </w:rPr>
        <w:lastRenderedPageBreak/>
        <w:t>Food handlers</w:t>
      </w:r>
      <w:r w:rsidR="001503C6">
        <w:rPr>
          <w:b/>
          <w:sz w:val="24"/>
        </w:rPr>
        <w:t xml:space="preserve">                         </w:t>
      </w:r>
    </w:p>
    <w:p w:rsidR="00D6309C" w:rsidRDefault="00D6309C" w:rsidP="00F42AED">
      <w:pPr>
        <w:rPr>
          <w:rFonts w:cs="Arial"/>
          <w:b/>
        </w:rPr>
      </w:pPr>
    </w:p>
    <w:p w:rsidR="00F42AED" w:rsidRPr="003F67C9" w:rsidRDefault="00F42AED" w:rsidP="00F42AED">
      <w:pPr>
        <w:rPr>
          <w:rFonts w:cs="Arial"/>
        </w:rPr>
      </w:pPr>
      <w:r w:rsidRPr="003F67C9">
        <w:rPr>
          <w:rFonts w:cs="Arial"/>
          <w:b/>
        </w:rPr>
        <w:t xml:space="preserve">Michigan </w:t>
      </w:r>
      <w:r w:rsidRPr="003F67C9">
        <w:rPr>
          <w:rFonts w:cs="Arial"/>
        </w:rPr>
        <w:t xml:space="preserve">State University Extension offered ServSafe™ -- national certification program -- to 439 participants, with 93% passing the exam.  </w:t>
      </w:r>
      <w:r w:rsidRPr="003F67C9">
        <w:rPr>
          <w:rFonts w:cs="Arial"/>
          <w:b/>
        </w:rPr>
        <w:t xml:space="preserve">New York </w:t>
      </w:r>
      <w:r w:rsidRPr="003F67C9">
        <w:rPr>
          <w:rFonts w:cs="Arial"/>
        </w:rPr>
        <w:t xml:space="preserve">offered 12 ServSafe™ courses, reaching 178 persons. </w:t>
      </w:r>
      <w:r w:rsidRPr="003F67C9">
        <w:rPr>
          <w:rFonts w:cs="Arial"/>
          <w:b/>
        </w:rPr>
        <w:t>Wyoming</w:t>
      </w:r>
      <w:r w:rsidRPr="003F67C9">
        <w:rPr>
          <w:rFonts w:cs="Arial"/>
        </w:rPr>
        <w:t xml:space="preserve"> provided </w:t>
      </w:r>
      <w:r w:rsidR="001503C6">
        <w:rPr>
          <w:rFonts w:cs="Arial"/>
        </w:rPr>
        <w:t>11</w:t>
      </w:r>
      <w:r w:rsidRPr="003F67C9">
        <w:rPr>
          <w:rFonts w:cs="Arial"/>
        </w:rPr>
        <w:t xml:space="preserve"> four-hour long food safety trainings to 173 participants. </w:t>
      </w:r>
    </w:p>
    <w:p w:rsidR="00F42AED" w:rsidRDefault="00F42AED" w:rsidP="00F42AED">
      <w:pPr>
        <w:rPr>
          <w:rFonts w:cs="Arial"/>
        </w:rPr>
      </w:pPr>
    </w:p>
    <w:p w:rsidR="00F42AED" w:rsidRDefault="00F42AED" w:rsidP="00F42AED">
      <w:pPr>
        <w:rPr>
          <w:rFonts w:cs="Arial"/>
          <w:b/>
        </w:rPr>
      </w:pPr>
      <w:r>
        <w:rPr>
          <w:rFonts w:cs="Arial"/>
        </w:rPr>
        <w:t>Eighty-two re</w:t>
      </w:r>
      <w:r w:rsidRPr="00410046">
        <w:rPr>
          <w:rFonts w:cs="Arial"/>
        </w:rPr>
        <w:t xml:space="preserve">tail </w:t>
      </w:r>
      <w:r>
        <w:rPr>
          <w:rFonts w:cs="Arial"/>
        </w:rPr>
        <w:t>f</w:t>
      </w:r>
      <w:r w:rsidRPr="00410046">
        <w:rPr>
          <w:rFonts w:cs="Arial"/>
        </w:rPr>
        <w:t xml:space="preserve">ood </w:t>
      </w:r>
      <w:r>
        <w:rPr>
          <w:rFonts w:cs="Arial"/>
        </w:rPr>
        <w:t>s</w:t>
      </w:r>
      <w:r w:rsidRPr="00410046">
        <w:rPr>
          <w:rFonts w:cs="Arial"/>
        </w:rPr>
        <w:t>afet</w:t>
      </w:r>
      <w:r>
        <w:rPr>
          <w:rFonts w:cs="Arial"/>
        </w:rPr>
        <w:t>y workshops were held in</w:t>
      </w:r>
      <w:r w:rsidRPr="003010B7">
        <w:rPr>
          <w:rFonts w:cs="Arial"/>
          <w:b/>
        </w:rPr>
        <w:t xml:space="preserve"> </w:t>
      </w:r>
    </w:p>
    <w:p w:rsidR="00F42AED" w:rsidRDefault="00F42AED" w:rsidP="00F42AED">
      <w:pPr>
        <w:rPr>
          <w:rFonts w:cs="Arial"/>
        </w:rPr>
      </w:pPr>
      <w:r w:rsidRPr="003010B7">
        <w:rPr>
          <w:rFonts w:cs="Arial"/>
          <w:b/>
        </w:rPr>
        <w:t>I</w:t>
      </w:r>
      <w:r>
        <w:rPr>
          <w:rFonts w:cs="Arial"/>
          <w:b/>
        </w:rPr>
        <w:t xml:space="preserve">ndiana; </w:t>
      </w:r>
      <w:r>
        <w:rPr>
          <w:rFonts w:cs="Arial"/>
        </w:rPr>
        <w:t xml:space="preserve">91% of the </w:t>
      </w:r>
      <w:r w:rsidRPr="00410046">
        <w:rPr>
          <w:rFonts w:cs="Arial"/>
        </w:rPr>
        <w:t xml:space="preserve">individuals employed in the food service industry that </w:t>
      </w:r>
      <w:r>
        <w:rPr>
          <w:rFonts w:cs="Arial"/>
        </w:rPr>
        <w:t xml:space="preserve">took these classes received </w:t>
      </w:r>
      <w:r w:rsidR="001503C6">
        <w:rPr>
          <w:rFonts w:cs="Arial"/>
        </w:rPr>
        <w:t xml:space="preserve">         </w:t>
      </w:r>
      <w:proofErr w:type="spellStart"/>
      <w:r w:rsidRPr="00410046">
        <w:rPr>
          <w:rFonts w:cs="Arial"/>
        </w:rPr>
        <w:t>Serv</w:t>
      </w:r>
      <w:proofErr w:type="spellEnd"/>
      <w:r w:rsidRPr="00410046">
        <w:rPr>
          <w:rFonts w:cs="Arial"/>
        </w:rPr>
        <w:t xml:space="preserve"> Safe</w:t>
      </w:r>
      <w:r>
        <w:rPr>
          <w:rFonts w:cs="Arial"/>
        </w:rPr>
        <w:t xml:space="preserve"> ™</w:t>
      </w:r>
      <w:r w:rsidRPr="00410046">
        <w:rPr>
          <w:rFonts w:cs="Arial"/>
        </w:rPr>
        <w:t xml:space="preserve"> certification.</w:t>
      </w:r>
      <w:r>
        <w:rPr>
          <w:rFonts w:cs="Arial"/>
        </w:rPr>
        <w:t xml:space="preserve"> </w:t>
      </w:r>
    </w:p>
    <w:p w:rsidR="00F42AED" w:rsidRDefault="00F42AED" w:rsidP="00F42AED">
      <w:pPr>
        <w:rPr>
          <w:rFonts w:cs="Arial"/>
        </w:rPr>
      </w:pPr>
    </w:p>
    <w:p w:rsidR="00F42AED" w:rsidRDefault="00F42AED" w:rsidP="00F42AED">
      <w:pPr>
        <w:rPr>
          <w:rFonts w:cs="Arial"/>
        </w:rPr>
      </w:pPr>
      <w:r w:rsidRPr="003010B7">
        <w:rPr>
          <w:rFonts w:cs="Arial"/>
          <w:b/>
        </w:rPr>
        <w:t>P</w:t>
      </w:r>
      <w:r>
        <w:rPr>
          <w:rFonts w:cs="Arial"/>
          <w:b/>
        </w:rPr>
        <w:t>ennsylvania</w:t>
      </w:r>
      <w:r w:rsidRPr="00410046">
        <w:rPr>
          <w:rFonts w:cs="Arial"/>
        </w:rPr>
        <w:t xml:space="preserve"> educators trained 952 individuals from 268 non-profit organizations on safe food handling practices.</w:t>
      </w:r>
      <w:r>
        <w:rPr>
          <w:rFonts w:cs="Arial"/>
        </w:rPr>
        <w:t xml:space="preserve"> </w:t>
      </w:r>
    </w:p>
    <w:p w:rsidR="00F42AED" w:rsidRDefault="00F42AED" w:rsidP="00F42AED">
      <w:pPr>
        <w:rPr>
          <w:rFonts w:cs="Arial"/>
        </w:rPr>
      </w:pPr>
    </w:p>
    <w:p w:rsidR="00F42AED" w:rsidRDefault="00F42AED" w:rsidP="00F42AED">
      <w:pPr>
        <w:rPr>
          <w:rFonts w:cs="Arial"/>
        </w:rPr>
      </w:pPr>
      <w:r w:rsidRPr="00410046">
        <w:rPr>
          <w:rFonts w:cs="Arial"/>
        </w:rPr>
        <w:t xml:space="preserve">In </w:t>
      </w:r>
      <w:r>
        <w:rPr>
          <w:rFonts w:cs="Arial"/>
          <w:b/>
        </w:rPr>
        <w:t xml:space="preserve">Maryland, </w:t>
      </w:r>
      <w:r w:rsidRPr="00A31BB1">
        <w:rPr>
          <w:rFonts w:cs="Arial"/>
        </w:rPr>
        <w:t>24 four</w:t>
      </w:r>
      <w:r>
        <w:rPr>
          <w:rFonts w:cs="Arial"/>
        </w:rPr>
        <w:t>-</w:t>
      </w:r>
      <w:r w:rsidRPr="00A31BB1">
        <w:rPr>
          <w:rFonts w:cs="Arial"/>
        </w:rPr>
        <w:t>hour</w:t>
      </w:r>
      <w:r>
        <w:rPr>
          <w:rFonts w:cs="Arial"/>
          <w:b/>
        </w:rPr>
        <w:t xml:space="preserve"> </w:t>
      </w:r>
      <w:r w:rsidRPr="00410046">
        <w:rPr>
          <w:rFonts w:cs="Arial"/>
        </w:rPr>
        <w:t>“Food Safety is for</w:t>
      </w:r>
      <w:r w:rsidR="00E9288A">
        <w:rPr>
          <w:rFonts w:cs="Arial"/>
        </w:rPr>
        <w:t xml:space="preserve"> </w:t>
      </w:r>
      <w:proofErr w:type="gramStart"/>
      <w:r w:rsidRPr="00410046">
        <w:rPr>
          <w:rFonts w:cs="Arial"/>
        </w:rPr>
        <w:t>Everyone</w:t>
      </w:r>
      <w:proofErr w:type="gramEnd"/>
      <w:r w:rsidRPr="00410046">
        <w:rPr>
          <w:rFonts w:cs="Arial"/>
        </w:rPr>
        <w:t>”</w:t>
      </w:r>
      <w:r>
        <w:rPr>
          <w:rFonts w:cs="Arial"/>
        </w:rPr>
        <w:t xml:space="preserve"> classes reached </w:t>
      </w:r>
      <w:r w:rsidRPr="00410046">
        <w:rPr>
          <w:rFonts w:cs="Arial"/>
        </w:rPr>
        <w:t>618 participants.</w:t>
      </w:r>
      <w:r>
        <w:rPr>
          <w:rFonts w:cs="Arial"/>
        </w:rPr>
        <w:t xml:space="preserve"> </w:t>
      </w:r>
      <w:r w:rsidRPr="00410046">
        <w:rPr>
          <w:rFonts w:cs="Arial"/>
        </w:rPr>
        <w:t>One hundred ten food safety certificates were distribute</w:t>
      </w:r>
      <w:r w:rsidR="00543257">
        <w:rPr>
          <w:rFonts w:cs="Arial"/>
        </w:rPr>
        <w:t>d and 12 participants received two</w:t>
      </w:r>
      <w:r w:rsidRPr="00410046">
        <w:rPr>
          <w:rFonts w:cs="Arial"/>
        </w:rPr>
        <w:t xml:space="preserve"> CEU’s enabling recipients to meet job requirements</w:t>
      </w:r>
      <w:r>
        <w:rPr>
          <w:rFonts w:cs="Arial"/>
        </w:rPr>
        <w:t xml:space="preserve"> and </w:t>
      </w:r>
      <w:r w:rsidRPr="00410046">
        <w:rPr>
          <w:rFonts w:cs="Arial"/>
        </w:rPr>
        <w:t>remain employed</w:t>
      </w:r>
      <w:r>
        <w:rPr>
          <w:rFonts w:cs="Arial"/>
        </w:rPr>
        <w:t xml:space="preserve"> while enabling </w:t>
      </w:r>
      <w:r w:rsidRPr="00410046">
        <w:rPr>
          <w:rFonts w:cs="Arial"/>
        </w:rPr>
        <w:t>participating organizations to remain in compliance with funding sources.</w:t>
      </w:r>
      <w:r>
        <w:rPr>
          <w:rFonts w:cs="Arial"/>
        </w:rPr>
        <w:t xml:space="preserve"> In </w:t>
      </w:r>
      <w:r w:rsidRPr="006B07F9">
        <w:rPr>
          <w:rFonts w:cs="Arial"/>
          <w:b/>
        </w:rPr>
        <w:t>Delaware</w:t>
      </w:r>
      <w:r>
        <w:rPr>
          <w:rFonts w:cs="Arial"/>
        </w:rPr>
        <w:t xml:space="preserve">, a “DE </w:t>
      </w:r>
      <w:r w:rsidRPr="00410046">
        <w:rPr>
          <w:rFonts w:cs="Arial"/>
        </w:rPr>
        <w:t xml:space="preserve">Dine Safe" class was presented to 32 </w:t>
      </w:r>
      <w:r>
        <w:rPr>
          <w:rFonts w:cs="Arial"/>
        </w:rPr>
        <w:t xml:space="preserve">high school </w:t>
      </w:r>
      <w:r w:rsidRPr="00410046">
        <w:rPr>
          <w:rFonts w:cs="Arial"/>
        </w:rPr>
        <w:t>juniors and seniors taking part in a food service workforce readiness program.</w:t>
      </w:r>
    </w:p>
    <w:p w:rsidR="00F42AED" w:rsidRDefault="00F42AED" w:rsidP="00F42AED">
      <w:pPr>
        <w:rPr>
          <w:rFonts w:cs="Arial"/>
        </w:rPr>
      </w:pPr>
    </w:p>
    <w:p w:rsidR="00D6309C" w:rsidRDefault="00D6309C" w:rsidP="00F42AED">
      <w:pPr>
        <w:rPr>
          <w:rFonts w:cs="Arial"/>
        </w:rPr>
      </w:pPr>
      <w:r>
        <w:rPr>
          <w:b/>
          <w:noProof/>
        </w:rPr>
        <w:drawing>
          <wp:anchor distT="0" distB="0" distL="114300" distR="114300" simplePos="0" relativeHeight="251676672" behindDoc="0" locked="0" layoutInCell="1" allowOverlap="1" wp14:anchorId="5595ED9D" wp14:editId="73C991D9">
            <wp:simplePos x="0" y="0"/>
            <wp:positionH relativeFrom="column">
              <wp:posOffset>282575</wp:posOffset>
            </wp:positionH>
            <wp:positionV relativeFrom="paragraph">
              <wp:posOffset>1208405</wp:posOffset>
            </wp:positionV>
            <wp:extent cx="2570480" cy="1927860"/>
            <wp:effectExtent l="19050" t="19050" r="20320" b="152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C_Fair_Bonnie_Koenig_adult_sec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0480" cy="19278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42AED" w:rsidRPr="00410046">
        <w:rPr>
          <w:rFonts w:cs="Arial"/>
        </w:rPr>
        <w:t>A pa</w:t>
      </w:r>
      <w:r w:rsidR="00F42AED">
        <w:rPr>
          <w:rFonts w:cs="Arial"/>
        </w:rPr>
        <w:t xml:space="preserve">rtnership with the </w:t>
      </w:r>
      <w:r w:rsidR="00F42AED" w:rsidRPr="006511A7">
        <w:rPr>
          <w:rFonts w:cs="Arial"/>
          <w:b/>
        </w:rPr>
        <w:t>South Dakota</w:t>
      </w:r>
      <w:r w:rsidR="00F42AED">
        <w:rPr>
          <w:rFonts w:cs="Arial"/>
        </w:rPr>
        <w:t xml:space="preserve"> </w:t>
      </w:r>
      <w:r w:rsidR="00F42AED" w:rsidRPr="00410046">
        <w:rPr>
          <w:rFonts w:cs="Arial"/>
        </w:rPr>
        <w:t>Retailers Association provide</w:t>
      </w:r>
      <w:r w:rsidR="00F42AED">
        <w:rPr>
          <w:rFonts w:cs="Arial"/>
        </w:rPr>
        <w:t>s</w:t>
      </w:r>
      <w:r w:rsidR="00543257">
        <w:rPr>
          <w:rFonts w:cs="Arial"/>
        </w:rPr>
        <w:t xml:space="preserve"> ServSafe™</w:t>
      </w:r>
      <w:r w:rsidR="00F42AED" w:rsidRPr="00410046">
        <w:rPr>
          <w:rFonts w:cs="Arial"/>
        </w:rPr>
        <w:t xml:space="preserve"> trainings specific to food service managers who are responsible for training staff within their food service establishment in food safety principles. </w:t>
      </w:r>
      <w:r w:rsidR="00F42AED">
        <w:rPr>
          <w:rFonts w:cs="Arial"/>
        </w:rPr>
        <w:t xml:space="preserve">Three hundred ninety-five South Dakotans in rural areas </w:t>
      </w:r>
      <w:r w:rsidR="00F42AED" w:rsidRPr="00410046">
        <w:rPr>
          <w:rFonts w:cs="Arial"/>
        </w:rPr>
        <w:t xml:space="preserve">received foodservice manager sanitation </w:t>
      </w:r>
    </w:p>
    <w:p w:rsidR="00D6309C" w:rsidRDefault="00D6309C" w:rsidP="00F42AED">
      <w:pPr>
        <w:rPr>
          <w:rFonts w:cs="Arial"/>
        </w:rPr>
      </w:pPr>
    </w:p>
    <w:p w:rsidR="00D6309C" w:rsidRDefault="00D6309C" w:rsidP="00F42AED">
      <w:pPr>
        <w:rPr>
          <w:rFonts w:cs="Arial"/>
        </w:rPr>
      </w:pPr>
    </w:p>
    <w:p w:rsidR="00D6309C" w:rsidRDefault="00D6309C" w:rsidP="00F42AED">
      <w:pPr>
        <w:rPr>
          <w:rFonts w:cs="Arial"/>
        </w:rPr>
      </w:pPr>
      <w:r w:rsidRPr="00212BBF">
        <w:rPr>
          <w:b/>
          <w:noProof/>
          <w:sz w:val="24"/>
          <w:szCs w:val="24"/>
        </w:rPr>
        <mc:AlternateContent>
          <mc:Choice Requires="wps">
            <w:drawing>
              <wp:anchor distT="0" distB="0" distL="114300" distR="114300" simplePos="0" relativeHeight="251659263" behindDoc="0" locked="0" layoutInCell="1" allowOverlap="1" wp14:anchorId="6206E87D" wp14:editId="3E11E09F">
                <wp:simplePos x="0" y="0"/>
                <wp:positionH relativeFrom="column">
                  <wp:posOffset>612775</wp:posOffset>
                </wp:positionH>
                <wp:positionV relativeFrom="paragraph">
                  <wp:posOffset>90805</wp:posOffset>
                </wp:positionV>
                <wp:extent cx="3686175" cy="98044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980440"/>
                        </a:xfrm>
                        <a:prstGeom prst="rect">
                          <a:avLst/>
                        </a:prstGeom>
                        <a:solidFill>
                          <a:srgbClr val="FFFFFF"/>
                        </a:solidFill>
                        <a:ln w="9525">
                          <a:noFill/>
                          <a:miter lim="800000"/>
                          <a:headEnd/>
                          <a:tailEnd/>
                        </a:ln>
                      </wps:spPr>
                      <wps:txbx>
                        <w:txbxContent>
                          <w:p w:rsidR="00212BBF" w:rsidRPr="00071811" w:rsidRDefault="00212BBF" w:rsidP="00212BBF">
                            <w:pPr>
                              <w:rPr>
                                <w:i/>
                                <w:sz w:val="20"/>
                              </w:rPr>
                            </w:pPr>
                            <w:r w:rsidRPr="00071811">
                              <w:rPr>
                                <w:i/>
                                <w:sz w:val="20"/>
                              </w:rPr>
                              <w:t>This report was compiled by Linda Combs, University of Kentucky Cooperative Extension, Public Affairs Education Subcommittee member, and Theresa Mayhew,</w:t>
                            </w:r>
                            <w:r w:rsidR="005945B5">
                              <w:rPr>
                                <w:i/>
                                <w:sz w:val="20"/>
                              </w:rPr>
                              <w:t xml:space="preserve"> Cornell Cooperative Extension</w:t>
                            </w:r>
                            <w:proofErr w:type="gramStart"/>
                            <w:r w:rsidR="005945B5">
                              <w:rPr>
                                <w:i/>
                                <w:sz w:val="20"/>
                              </w:rPr>
                              <w:t xml:space="preserve">, </w:t>
                            </w:r>
                            <w:r w:rsidR="001503C6">
                              <w:rPr>
                                <w:i/>
                                <w:sz w:val="20"/>
                              </w:rPr>
                              <w:t xml:space="preserve"> </w:t>
                            </w:r>
                            <w:r w:rsidRPr="00071811">
                              <w:rPr>
                                <w:i/>
                                <w:sz w:val="20"/>
                              </w:rPr>
                              <w:t>Vice</w:t>
                            </w:r>
                            <w:proofErr w:type="gramEnd"/>
                            <w:r w:rsidR="005945B5">
                              <w:rPr>
                                <w:i/>
                                <w:sz w:val="20"/>
                              </w:rPr>
                              <w:t xml:space="preserve"> </w:t>
                            </w:r>
                            <w:r w:rsidRPr="00071811">
                              <w:rPr>
                                <w:i/>
                                <w:sz w:val="20"/>
                              </w:rPr>
                              <w:t>President – Public Affairs.</w:t>
                            </w:r>
                            <w:r w:rsidR="00071811">
                              <w:rPr>
                                <w:i/>
                                <w:sz w:val="20"/>
                              </w:rPr>
                              <w:t xml:space="preserve"> For more information, email </w:t>
                            </w:r>
                            <w:hyperlink r:id="rId15" w:history="1">
                              <w:r w:rsidR="00071811" w:rsidRPr="00FA4EF7">
                                <w:rPr>
                                  <w:rStyle w:val="Hyperlink"/>
                                  <w:i/>
                                  <w:sz w:val="20"/>
                                </w:rPr>
                                <w:t>tcm5@cornell.edu</w:t>
                              </w:r>
                            </w:hyperlink>
                            <w:r w:rsidR="00071811">
                              <w:rPr>
                                <w:i/>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8.25pt;margin-top:7.15pt;width:290.25pt;height:77.2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" stroked="f">
                <v:textbox>
                  <w:txbxContent>
                    <w:p w:rsidR="00212BBF" w:rsidRPr="00071811" w:rsidRDefault="00212BBF" w:rsidP="00212BBF">
                      <w:pPr>
                        <w:rPr>
                          <w:i/>
                          <w:sz w:val="20"/>
                        </w:rPr>
                      </w:pPr>
                      <w:r w:rsidRPr="00071811">
                        <w:rPr>
                          <w:i/>
                          <w:sz w:val="20"/>
                        </w:rPr>
                        <w:t>This report was compiled by Linda Combs, University of Kentucky Cooperative Extension, Public Affairs Education Subcommittee member, and Theresa Mayhew,</w:t>
                      </w:r>
                      <w:r w:rsidR="005945B5">
                        <w:rPr>
                          <w:i/>
                          <w:sz w:val="20"/>
                        </w:rPr>
                        <w:t xml:space="preserve"> Cornell Cooperative Extension</w:t>
                      </w:r>
                      <w:proofErr w:type="gramStart"/>
                      <w:r w:rsidR="005945B5">
                        <w:rPr>
                          <w:i/>
                          <w:sz w:val="20"/>
                        </w:rPr>
                        <w:t xml:space="preserve">, </w:t>
                      </w:r>
                      <w:r w:rsidR="001503C6">
                        <w:rPr>
                          <w:i/>
                          <w:sz w:val="20"/>
                        </w:rPr>
                        <w:t xml:space="preserve"> </w:t>
                      </w:r>
                      <w:r w:rsidRPr="00071811">
                        <w:rPr>
                          <w:i/>
                          <w:sz w:val="20"/>
                        </w:rPr>
                        <w:t>Vice</w:t>
                      </w:r>
                      <w:proofErr w:type="gramEnd"/>
                      <w:r w:rsidR="005945B5">
                        <w:rPr>
                          <w:i/>
                          <w:sz w:val="20"/>
                        </w:rPr>
                        <w:t xml:space="preserve"> </w:t>
                      </w:r>
                      <w:r w:rsidRPr="00071811">
                        <w:rPr>
                          <w:i/>
                          <w:sz w:val="20"/>
                        </w:rPr>
                        <w:t>President – Public Affairs.</w:t>
                      </w:r>
                      <w:r w:rsidR="00071811">
                        <w:rPr>
                          <w:i/>
                          <w:sz w:val="20"/>
                        </w:rPr>
                        <w:t xml:space="preserve"> For more information, email </w:t>
                      </w:r>
                      <w:hyperlink r:id="rId16" w:history="1">
                        <w:r w:rsidR="00071811" w:rsidRPr="00FA4EF7">
                          <w:rPr>
                            <w:rStyle w:val="Hyperlink"/>
                            <w:i/>
                            <w:sz w:val="20"/>
                          </w:rPr>
                          <w:t>tcm5@cornell.edu</w:t>
                        </w:r>
                      </w:hyperlink>
                      <w:r w:rsidR="00071811">
                        <w:rPr>
                          <w:i/>
                          <w:sz w:val="20"/>
                        </w:rPr>
                        <w:t xml:space="preserve">. </w:t>
                      </w:r>
                    </w:p>
                  </w:txbxContent>
                </v:textbox>
                <w10:wrap type="square"/>
              </v:shape>
            </w:pict>
          </mc:Fallback>
        </mc:AlternateContent>
      </w:r>
    </w:p>
    <w:p w:rsidR="00D6309C" w:rsidRDefault="00D6309C" w:rsidP="00F42AED">
      <w:pPr>
        <w:rPr>
          <w:rFonts w:cs="Arial"/>
        </w:rPr>
      </w:pPr>
    </w:p>
    <w:p w:rsidR="00D6309C" w:rsidRDefault="00D6309C" w:rsidP="00F42AED">
      <w:pPr>
        <w:rPr>
          <w:rFonts w:cs="Arial"/>
        </w:rPr>
      </w:pPr>
    </w:p>
    <w:p w:rsidR="00D6309C" w:rsidRDefault="00D6309C" w:rsidP="00F42AED">
      <w:pPr>
        <w:rPr>
          <w:rFonts w:cs="Arial"/>
        </w:rPr>
      </w:pPr>
    </w:p>
    <w:p w:rsidR="00F42AED" w:rsidRPr="00410046" w:rsidRDefault="00F42AED" w:rsidP="00F42AED">
      <w:pPr>
        <w:rPr>
          <w:rFonts w:cs="Arial"/>
        </w:rPr>
      </w:pPr>
      <w:proofErr w:type="gramStart"/>
      <w:r w:rsidRPr="00410046">
        <w:rPr>
          <w:rFonts w:cs="Arial"/>
        </w:rPr>
        <w:lastRenderedPageBreak/>
        <w:t>certification</w:t>
      </w:r>
      <w:proofErr w:type="gramEnd"/>
      <w:r w:rsidRPr="00410046">
        <w:rPr>
          <w:rFonts w:cs="Arial"/>
        </w:rPr>
        <w:t xml:space="preserve"> or recertification</w:t>
      </w:r>
      <w:r>
        <w:rPr>
          <w:rFonts w:cs="Arial"/>
        </w:rPr>
        <w:t xml:space="preserve">; </w:t>
      </w:r>
      <w:r w:rsidRPr="00410046">
        <w:rPr>
          <w:rFonts w:cs="Arial"/>
        </w:rPr>
        <w:t xml:space="preserve">two </w:t>
      </w:r>
      <w:r>
        <w:rPr>
          <w:rFonts w:cs="Arial"/>
        </w:rPr>
        <w:t xml:space="preserve">became </w:t>
      </w:r>
      <w:r w:rsidR="00543257">
        <w:rPr>
          <w:rFonts w:cs="Arial"/>
        </w:rPr>
        <w:t>certified ServSafe™</w:t>
      </w:r>
      <w:r w:rsidRPr="00410046">
        <w:rPr>
          <w:rFonts w:cs="Arial"/>
        </w:rPr>
        <w:t xml:space="preserve"> instructors </w:t>
      </w:r>
      <w:r>
        <w:rPr>
          <w:rFonts w:cs="Arial"/>
        </w:rPr>
        <w:t xml:space="preserve">and are </w:t>
      </w:r>
      <w:r w:rsidRPr="00410046">
        <w:rPr>
          <w:rFonts w:cs="Arial"/>
        </w:rPr>
        <w:t>serving the Cheyenne Indian Reservation. Of the 394 individuals attending the food safety certification classes, 347</w:t>
      </w:r>
      <w:r>
        <w:rPr>
          <w:rFonts w:cs="Arial"/>
        </w:rPr>
        <w:t xml:space="preserve"> persons</w:t>
      </w:r>
      <w:r w:rsidRPr="00410046">
        <w:rPr>
          <w:rFonts w:cs="Arial"/>
        </w:rPr>
        <w:t xml:space="preserve"> (88%) received their certificates</w:t>
      </w:r>
      <w:r>
        <w:rPr>
          <w:rFonts w:cs="Arial"/>
        </w:rPr>
        <w:t xml:space="preserve"> and </w:t>
      </w:r>
      <w:r w:rsidRPr="00410046">
        <w:rPr>
          <w:rFonts w:cs="Arial"/>
        </w:rPr>
        <w:t>122</w:t>
      </w:r>
      <w:r>
        <w:rPr>
          <w:rFonts w:cs="Arial"/>
        </w:rPr>
        <w:t xml:space="preserve"> </w:t>
      </w:r>
      <w:r w:rsidRPr="00410046">
        <w:rPr>
          <w:rFonts w:cs="Arial"/>
        </w:rPr>
        <w:t>obtained food safety recertification status.</w:t>
      </w:r>
    </w:p>
    <w:p w:rsidR="00D6309C" w:rsidRDefault="00D6309C" w:rsidP="00F42AED">
      <w:pPr>
        <w:rPr>
          <w:b/>
          <w:sz w:val="24"/>
        </w:rPr>
      </w:pPr>
    </w:p>
    <w:p w:rsidR="00F42AED" w:rsidRPr="002D67CE" w:rsidRDefault="00FC19D6" w:rsidP="00F42AED">
      <w:pPr>
        <w:rPr>
          <w:b/>
          <w:sz w:val="24"/>
        </w:rPr>
      </w:pPr>
      <w:r w:rsidRPr="002D67CE">
        <w:rPr>
          <w:b/>
          <w:sz w:val="24"/>
        </w:rPr>
        <w:t>M</w:t>
      </w:r>
      <w:r w:rsidR="00F42AED" w:rsidRPr="002D67CE">
        <w:rPr>
          <w:b/>
          <w:sz w:val="24"/>
        </w:rPr>
        <w:t>arketing/Communications</w:t>
      </w:r>
    </w:p>
    <w:p w:rsidR="00F42AED" w:rsidRPr="00F65591" w:rsidRDefault="00F42AED" w:rsidP="00F42AED"/>
    <w:p w:rsidR="00F42AED" w:rsidRPr="00410046" w:rsidRDefault="00F42AED" w:rsidP="00F42AED">
      <w:pPr>
        <w:rPr>
          <w:rFonts w:cs="Arial"/>
        </w:rPr>
      </w:pPr>
      <w:r w:rsidRPr="00F65591">
        <w:rPr>
          <w:rFonts w:cs="Arial"/>
          <w:b/>
        </w:rPr>
        <w:t>G</w:t>
      </w:r>
      <w:r>
        <w:rPr>
          <w:rFonts w:cs="Arial"/>
          <w:b/>
        </w:rPr>
        <w:t>eorgia’s</w:t>
      </w:r>
      <w:r w:rsidRPr="00410046">
        <w:rPr>
          <w:rFonts w:cs="Arial"/>
        </w:rPr>
        <w:t xml:space="preserve"> National Center for Food Preservation website had over 1.8 million visitors in 2013 with five million page views. Over 20,000 visitors per day use</w:t>
      </w:r>
      <w:r w:rsidR="0043410D">
        <w:rPr>
          <w:rFonts w:cs="Arial"/>
        </w:rPr>
        <w:t>d</w:t>
      </w:r>
      <w:r w:rsidRPr="00410046">
        <w:rPr>
          <w:rFonts w:cs="Arial"/>
        </w:rPr>
        <w:t xml:space="preserve"> the site in peak months.</w:t>
      </w:r>
      <w:r>
        <w:rPr>
          <w:rFonts w:cs="Arial"/>
        </w:rPr>
        <w:t xml:space="preserve">  </w:t>
      </w:r>
      <w:r w:rsidRPr="00410046">
        <w:rPr>
          <w:rFonts w:cs="Arial"/>
        </w:rPr>
        <w:t>The</w:t>
      </w:r>
      <w:r w:rsidRPr="00F65591">
        <w:rPr>
          <w:rFonts w:cs="Arial"/>
          <w:b/>
        </w:rPr>
        <w:t xml:space="preserve"> O</w:t>
      </w:r>
      <w:r>
        <w:rPr>
          <w:rFonts w:cs="Arial"/>
          <w:b/>
        </w:rPr>
        <w:t xml:space="preserve">hio </w:t>
      </w:r>
      <w:r w:rsidRPr="0043410D">
        <w:rPr>
          <w:rFonts w:cs="Arial"/>
        </w:rPr>
        <w:t>State</w:t>
      </w:r>
      <w:r w:rsidRPr="00410046">
        <w:rPr>
          <w:rFonts w:cs="Arial"/>
        </w:rPr>
        <w:t xml:space="preserve"> Extension Food Safety/Preservation Hotline was staffed by 57 Master Food Preservers. They fielded 2</w:t>
      </w:r>
      <w:r>
        <w:rPr>
          <w:rFonts w:cs="Arial"/>
        </w:rPr>
        <w:t>,</w:t>
      </w:r>
      <w:r w:rsidRPr="00410046">
        <w:rPr>
          <w:rFonts w:cs="Arial"/>
        </w:rPr>
        <w:t>262 calls for help and information from every county during the canning season and the two weeks before Thanksgiving.</w:t>
      </w:r>
    </w:p>
    <w:p w:rsidR="00F42AED" w:rsidRDefault="00F42AED" w:rsidP="00F42AED">
      <w:pPr>
        <w:rPr>
          <w:rFonts w:cs="Arial"/>
        </w:rPr>
      </w:pPr>
      <w:r w:rsidRPr="00410046">
        <w:rPr>
          <w:rFonts w:cs="Arial"/>
          <w:b/>
          <w:bCs/>
        </w:rPr>
        <w:br/>
      </w:r>
      <w:r w:rsidRPr="00410046">
        <w:rPr>
          <w:rFonts w:cs="Arial"/>
        </w:rPr>
        <w:t>Increase</w:t>
      </w:r>
      <w:r w:rsidR="00543257">
        <w:rPr>
          <w:rFonts w:cs="Arial"/>
        </w:rPr>
        <w:t>d</w:t>
      </w:r>
      <w:r w:rsidRPr="00410046">
        <w:rPr>
          <w:rFonts w:cs="Arial"/>
        </w:rPr>
        <w:t xml:space="preserve"> demand for food preservation education prompted </w:t>
      </w:r>
      <w:r w:rsidRPr="0060744E">
        <w:rPr>
          <w:rFonts w:cs="Arial"/>
          <w:b/>
        </w:rPr>
        <w:t>M</w:t>
      </w:r>
      <w:r>
        <w:rPr>
          <w:rFonts w:cs="Arial"/>
          <w:b/>
        </w:rPr>
        <w:t>innesota e</w:t>
      </w:r>
      <w:r w:rsidRPr="00410046">
        <w:rPr>
          <w:rFonts w:cs="Arial"/>
        </w:rPr>
        <w:t xml:space="preserve">ducators to create five-minute online mini-modules on </w:t>
      </w:r>
      <w:r>
        <w:rPr>
          <w:rFonts w:cs="Arial"/>
        </w:rPr>
        <w:t xml:space="preserve">22 </w:t>
      </w:r>
      <w:r w:rsidRPr="00410046">
        <w:rPr>
          <w:rFonts w:cs="Arial"/>
        </w:rPr>
        <w:t>food preservation topics</w:t>
      </w:r>
      <w:r>
        <w:rPr>
          <w:rFonts w:cs="Arial"/>
        </w:rPr>
        <w:t xml:space="preserve"> that reached 2</w:t>
      </w:r>
      <w:r w:rsidR="00543257">
        <w:rPr>
          <w:rFonts w:cs="Arial"/>
        </w:rPr>
        <w:t>,</w:t>
      </w:r>
      <w:r>
        <w:rPr>
          <w:rFonts w:cs="Arial"/>
        </w:rPr>
        <w:t>000 home preservers</w:t>
      </w:r>
      <w:r w:rsidRPr="00410046">
        <w:rPr>
          <w:rFonts w:cs="Arial"/>
        </w:rPr>
        <w:t>. Each module emphasize</w:t>
      </w:r>
      <w:r w:rsidR="0043410D">
        <w:rPr>
          <w:rFonts w:cs="Arial"/>
        </w:rPr>
        <w:t>d</w:t>
      </w:r>
      <w:r w:rsidRPr="00410046">
        <w:rPr>
          <w:rFonts w:cs="Arial"/>
        </w:rPr>
        <w:t xml:space="preserve"> critical science-based information and steps to achieve a safe and tasty preserved produ</w:t>
      </w:r>
      <w:r>
        <w:rPr>
          <w:rFonts w:cs="Arial"/>
        </w:rPr>
        <w:t>ct</w:t>
      </w:r>
      <w:r w:rsidRPr="00410046">
        <w:rPr>
          <w:rFonts w:cs="Arial"/>
        </w:rPr>
        <w:t>.</w:t>
      </w:r>
      <w:r>
        <w:rPr>
          <w:rFonts w:cs="Arial"/>
        </w:rPr>
        <w:t xml:space="preserve"> </w:t>
      </w:r>
      <w:r w:rsidRPr="00410046">
        <w:rPr>
          <w:rFonts w:cs="Arial"/>
        </w:rPr>
        <w:t xml:space="preserve">Over </w:t>
      </w:r>
      <w:r>
        <w:rPr>
          <w:rFonts w:cs="Arial"/>
        </w:rPr>
        <w:t xml:space="preserve">90,000 people have viewed </w:t>
      </w:r>
      <w:r w:rsidRPr="00F65591">
        <w:rPr>
          <w:rFonts w:cs="Arial"/>
          <w:b/>
        </w:rPr>
        <w:t>M</w:t>
      </w:r>
      <w:r>
        <w:rPr>
          <w:rFonts w:cs="Arial"/>
          <w:b/>
        </w:rPr>
        <w:t>aine</w:t>
      </w:r>
      <w:r w:rsidR="00543257">
        <w:rPr>
          <w:rFonts w:cs="Arial"/>
        </w:rPr>
        <w:t>’s seven “How-To” videos on food p</w:t>
      </w:r>
      <w:r w:rsidRPr="00410046">
        <w:rPr>
          <w:rFonts w:cs="Arial"/>
        </w:rPr>
        <w:t>reservati</w:t>
      </w:r>
      <w:r>
        <w:rPr>
          <w:rFonts w:cs="Arial"/>
        </w:rPr>
        <w:t xml:space="preserve">on of popular local or regional </w:t>
      </w:r>
      <w:r w:rsidRPr="00410046">
        <w:rPr>
          <w:rFonts w:cs="Arial"/>
        </w:rPr>
        <w:t xml:space="preserve">foods. </w:t>
      </w:r>
      <w:r w:rsidRPr="00410046">
        <w:br/>
      </w:r>
    </w:p>
    <w:p w:rsidR="00F42AED" w:rsidRPr="00410046" w:rsidRDefault="00F42AED" w:rsidP="00F42AED">
      <w:pPr>
        <w:rPr>
          <w:rFonts w:cs="Arial"/>
        </w:rPr>
      </w:pPr>
      <w:r w:rsidRPr="00410046">
        <w:rPr>
          <w:rFonts w:cs="Arial"/>
        </w:rPr>
        <w:t>In its first year, a food safety hotline in</w:t>
      </w:r>
      <w:r w:rsidRPr="006B07F9">
        <w:rPr>
          <w:rFonts w:cs="Arial"/>
          <w:b/>
        </w:rPr>
        <w:t xml:space="preserve"> Pennsylvania</w:t>
      </w:r>
      <w:r>
        <w:rPr>
          <w:rFonts w:cs="Arial"/>
        </w:rPr>
        <w:t xml:space="preserve"> </w:t>
      </w:r>
      <w:r w:rsidRPr="00410046">
        <w:rPr>
          <w:rFonts w:cs="Arial"/>
        </w:rPr>
        <w:t>responded to 204 consumer questions with 60% answered within 30 minutes</w:t>
      </w:r>
      <w:r>
        <w:rPr>
          <w:rFonts w:cs="Arial"/>
        </w:rPr>
        <w:t>, providing timely re</w:t>
      </w:r>
      <w:r w:rsidRPr="00410046">
        <w:rPr>
          <w:rFonts w:cs="Arial"/>
        </w:rPr>
        <w:t>sponse</w:t>
      </w:r>
      <w:r>
        <w:rPr>
          <w:rFonts w:cs="Arial"/>
        </w:rPr>
        <w:t>s</w:t>
      </w:r>
      <w:r w:rsidRPr="00410046">
        <w:rPr>
          <w:rFonts w:cs="Arial"/>
        </w:rPr>
        <w:t xml:space="preserve"> to food safety and home food preservation questions.</w:t>
      </w:r>
    </w:p>
    <w:p w:rsidR="00F42AED" w:rsidRDefault="00F42AED" w:rsidP="00CD691A">
      <w:pPr>
        <w:rPr>
          <w:b/>
          <w:sz w:val="24"/>
          <w:szCs w:val="24"/>
        </w:rPr>
        <w:sectPr w:rsidR="00F42AED" w:rsidSect="00F42AED">
          <w:type w:val="continuous"/>
          <w:pgSz w:w="12240" w:h="15840"/>
          <w:pgMar w:top="1500" w:right="660" w:bottom="280" w:left="660" w:header="720" w:footer="720" w:gutter="0"/>
          <w:cols w:num="2" w:space="720"/>
          <w:titlePg/>
          <w:docGrid w:linePitch="299"/>
        </w:sectPr>
      </w:pPr>
    </w:p>
    <w:p w:rsidR="004B577B" w:rsidRDefault="004B577B" w:rsidP="006476E8">
      <w:pPr>
        <w:ind w:left="117"/>
        <w:rPr>
          <w:rFonts w:ascii="Arial Narrow" w:eastAsia="Arial Narrow" w:hAnsi="Arial Narrow" w:cs="Arial Narrow"/>
          <w:sz w:val="28"/>
          <w:szCs w:val="28"/>
        </w:rPr>
      </w:pPr>
      <w:bookmarkStart w:id="0" w:name="_GoBack"/>
      <w:bookmarkEnd w:id="0"/>
    </w:p>
    <w:sectPr w:rsidR="004B577B">
      <w:type w:val="continuous"/>
      <w:pgSz w:w="12240" w:h="15840"/>
      <w:pgMar w:top="1500" w:right="660" w:bottom="280" w:left="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913" w:rsidRDefault="00FD6913" w:rsidP="00FD6913">
      <w:r>
        <w:separator/>
      </w:r>
    </w:p>
  </w:endnote>
  <w:endnote w:type="continuationSeparator" w:id="0">
    <w:p w:rsidR="00FD6913" w:rsidRDefault="00FD6913" w:rsidP="00FD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57" w:rsidRDefault="00543257" w:rsidP="00543257">
    <w:pPr>
      <w:pStyle w:val="Footer"/>
    </w:pPr>
    <w:r>
      <w:rPr>
        <w:rFonts w:ascii="Arial" w:hAnsi="Arial" w:cs="Arial"/>
        <w:b/>
        <w:bCs/>
        <w:color w:val="000000"/>
        <w:sz w:val="21"/>
        <w:szCs w:val="21"/>
      </w:rPr>
      <w:t xml:space="preserve">National Extension Association of Family and Consumer Sciences (NEAFCS) </w:t>
    </w:r>
    <w:r>
      <w:rPr>
        <w:rFonts w:ascii="Arial" w:hAnsi="Arial" w:cs="Arial"/>
        <w:color w:val="000000"/>
        <w:sz w:val="21"/>
        <w:szCs w:val="21"/>
      </w:rPr>
      <w:t>provides professional development for Extension professionals who improve the quality of life for individuals, families, and communities and provide education in the areas of:  Childhood Obesity; Community Health and Wellness; Financial Management; Food and Nutrition; Food Safety; Healthy Homes and the Environment; Improving Children’s Lives; and Protecting our Resources – Family Life.</w:t>
    </w:r>
  </w:p>
  <w:p w:rsidR="00323BD9" w:rsidRDefault="00323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913" w:rsidRDefault="00FD6913" w:rsidP="00FD6913">
      <w:r>
        <w:separator/>
      </w:r>
    </w:p>
  </w:footnote>
  <w:footnote w:type="continuationSeparator" w:id="0">
    <w:p w:rsidR="00FD6913" w:rsidRDefault="00FD6913" w:rsidP="00FD6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AED" w:rsidRDefault="00F42AED">
    <w:pPr>
      <w:pStyle w:val="Header"/>
    </w:pPr>
    <w:r>
      <w:t>PAGE 2                                                                                                                                                                       NEAFCS 2014</w:t>
    </w:r>
  </w:p>
  <w:p w:rsidR="00F42AED" w:rsidRDefault="00F42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655C5"/>
    <w:multiLevelType w:val="hybridMultilevel"/>
    <w:tmpl w:val="468860A4"/>
    <w:lvl w:ilvl="0" w:tplc="CD48B8AA">
      <w:start w:val="1"/>
      <w:numFmt w:val="bullet"/>
      <w:lvlText w:val=""/>
      <w:lvlJc w:val="left"/>
      <w:pPr>
        <w:ind w:left="477" w:hanging="360"/>
      </w:pPr>
      <w:rPr>
        <w:rFonts w:ascii="Symbol" w:eastAsia="Symbol" w:hAnsi="Symbol" w:hint="default"/>
        <w:color w:val="231F20"/>
        <w:w w:val="76"/>
        <w:sz w:val="20"/>
        <w:szCs w:val="20"/>
      </w:rPr>
    </w:lvl>
    <w:lvl w:ilvl="1" w:tplc="E3F86618">
      <w:start w:val="1"/>
      <w:numFmt w:val="bullet"/>
      <w:lvlText w:val="•"/>
      <w:lvlJc w:val="left"/>
      <w:pPr>
        <w:ind w:left="981" w:hanging="360"/>
      </w:pPr>
      <w:rPr>
        <w:rFonts w:hint="default"/>
      </w:rPr>
    </w:lvl>
    <w:lvl w:ilvl="2" w:tplc="2C7C0B7A">
      <w:start w:val="1"/>
      <w:numFmt w:val="bullet"/>
      <w:lvlText w:val="•"/>
      <w:lvlJc w:val="left"/>
      <w:pPr>
        <w:ind w:left="1485" w:hanging="360"/>
      </w:pPr>
      <w:rPr>
        <w:rFonts w:hint="default"/>
      </w:rPr>
    </w:lvl>
    <w:lvl w:ilvl="3" w:tplc="BEBEFF06">
      <w:start w:val="1"/>
      <w:numFmt w:val="bullet"/>
      <w:lvlText w:val="•"/>
      <w:lvlJc w:val="left"/>
      <w:pPr>
        <w:ind w:left="1990" w:hanging="360"/>
      </w:pPr>
      <w:rPr>
        <w:rFonts w:hint="default"/>
      </w:rPr>
    </w:lvl>
    <w:lvl w:ilvl="4" w:tplc="2AF45F1E">
      <w:start w:val="1"/>
      <w:numFmt w:val="bullet"/>
      <w:lvlText w:val="•"/>
      <w:lvlJc w:val="left"/>
      <w:pPr>
        <w:ind w:left="2494" w:hanging="360"/>
      </w:pPr>
      <w:rPr>
        <w:rFonts w:hint="default"/>
      </w:rPr>
    </w:lvl>
    <w:lvl w:ilvl="5" w:tplc="9818349E">
      <w:start w:val="1"/>
      <w:numFmt w:val="bullet"/>
      <w:lvlText w:val="•"/>
      <w:lvlJc w:val="left"/>
      <w:pPr>
        <w:ind w:left="2998" w:hanging="360"/>
      </w:pPr>
      <w:rPr>
        <w:rFonts w:hint="default"/>
      </w:rPr>
    </w:lvl>
    <w:lvl w:ilvl="6" w:tplc="D802443C">
      <w:start w:val="1"/>
      <w:numFmt w:val="bullet"/>
      <w:lvlText w:val="•"/>
      <w:lvlJc w:val="left"/>
      <w:pPr>
        <w:ind w:left="3502" w:hanging="360"/>
      </w:pPr>
      <w:rPr>
        <w:rFonts w:hint="default"/>
      </w:rPr>
    </w:lvl>
    <w:lvl w:ilvl="7" w:tplc="3918B0AA">
      <w:start w:val="1"/>
      <w:numFmt w:val="bullet"/>
      <w:lvlText w:val="•"/>
      <w:lvlJc w:val="left"/>
      <w:pPr>
        <w:ind w:left="4006" w:hanging="360"/>
      </w:pPr>
      <w:rPr>
        <w:rFonts w:hint="default"/>
      </w:rPr>
    </w:lvl>
    <w:lvl w:ilvl="8" w:tplc="F31074E6">
      <w:start w:val="1"/>
      <w:numFmt w:val="bullet"/>
      <w:lvlText w:val="•"/>
      <w:lvlJc w:val="left"/>
      <w:pPr>
        <w:ind w:left="451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6E"/>
    <w:rsid w:val="00071811"/>
    <w:rsid w:val="00140D9B"/>
    <w:rsid w:val="001503C6"/>
    <w:rsid w:val="002016F9"/>
    <w:rsid w:val="00212BBF"/>
    <w:rsid w:val="00266573"/>
    <w:rsid w:val="002D67CE"/>
    <w:rsid w:val="00323BD9"/>
    <w:rsid w:val="00331D5F"/>
    <w:rsid w:val="00383B8E"/>
    <w:rsid w:val="003F2355"/>
    <w:rsid w:val="003F67C9"/>
    <w:rsid w:val="0043410D"/>
    <w:rsid w:val="004B577B"/>
    <w:rsid w:val="004B7355"/>
    <w:rsid w:val="004C0C9F"/>
    <w:rsid w:val="00543257"/>
    <w:rsid w:val="00583D0B"/>
    <w:rsid w:val="005945B5"/>
    <w:rsid w:val="005E716E"/>
    <w:rsid w:val="00644488"/>
    <w:rsid w:val="006476E8"/>
    <w:rsid w:val="00664AB0"/>
    <w:rsid w:val="00681767"/>
    <w:rsid w:val="006D503C"/>
    <w:rsid w:val="0074183A"/>
    <w:rsid w:val="007568F8"/>
    <w:rsid w:val="0085075F"/>
    <w:rsid w:val="00890FCA"/>
    <w:rsid w:val="009933E4"/>
    <w:rsid w:val="00B3622F"/>
    <w:rsid w:val="00B5476A"/>
    <w:rsid w:val="00CD691A"/>
    <w:rsid w:val="00D25208"/>
    <w:rsid w:val="00D43FFA"/>
    <w:rsid w:val="00D6309C"/>
    <w:rsid w:val="00DB31FB"/>
    <w:rsid w:val="00E9288A"/>
    <w:rsid w:val="00EA32E7"/>
    <w:rsid w:val="00EA6478"/>
    <w:rsid w:val="00F42AED"/>
    <w:rsid w:val="00F70867"/>
    <w:rsid w:val="00FC19D6"/>
    <w:rsid w:val="00FD6913"/>
    <w:rsid w:val="00FD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b13b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17"/>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691A"/>
    <w:rPr>
      <w:rFonts w:ascii="Tahoma" w:hAnsi="Tahoma" w:cs="Tahoma"/>
      <w:sz w:val="16"/>
      <w:szCs w:val="16"/>
    </w:rPr>
  </w:style>
  <w:style w:type="character" w:customStyle="1" w:styleId="BalloonTextChar">
    <w:name w:val="Balloon Text Char"/>
    <w:basedOn w:val="DefaultParagraphFont"/>
    <w:link w:val="BalloonText"/>
    <w:uiPriority w:val="99"/>
    <w:semiHidden/>
    <w:rsid w:val="00CD691A"/>
    <w:rPr>
      <w:rFonts w:ascii="Tahoma" w:hAnsi="Tahoma" w:cs="Tahoma"/>
      <w:sz w:val="16"/>
      <w:szCs w:val="16"/>
    </w:rPr>
  </w:style>
  <w:style w:type="paragraph" w:styleId="NormalWeb">
    <w:name w:val="Normal (Web)"/>
    <w:basedOn w:val="Normal"/>
    <w:uiPriority w:val="99"/>
    <w:unhideWhenUsed/>
    <w:rsid w:val="00CD691A"/>
    <w:pPr>
      <w:widowControl/>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FD6913"/>
    <w:pPr>
      <w:tabs>
        <w:tab w:val="center" w:pos="4680"/>
        <w:tab w:val="right" w:pos="9360"/>
      </w:tabs>
    </w:pPr>
  </w:style>
  <w:style w:type="character" w:customStyle="1" w:styleId="HeaderChar">
    <w:name w:val="Header Char"/>
    <w:basedOn w:val="DefaultParagraphFont"/>
    <w:link w:val="Header"/>
    <w:uiPriority w:val="99"/>
    <w:rsid w:val="00FD6913"/>
  </w:style>
  <w:style w:type="paragraph" w:styleId="Footer">
    <w:name w:val="footer"/>
    <w:basedOn w:val="Normal"/>
    <w:link w:val="FooterChar"/>
    <w:uiPriority w:val="99"/>
    <w:unhideWhenUsed/>
    <w:rsid w:val="00FD6913"/>
    <w:pPr>
      <w:tabs>
        <w:tab w:val="center" w:pos="4680"/>
        <w:tab w:val="right" w:pos="9360"/>
      </w:tabs>
    </w:pPr>
  </w:style>
  <w:style w:type="character" w:customStyle="1" w:styleId="FooterChar">
    <w:name w:val="Footer Char"/>
    <w:basedOn w:val="DefaultParagraphFont"/>
    <w:link w:val="Footer"/>
    <w:uiPriority w:val="99"/>
    <w:rsid w:val="00FD6913"/>
  </w:style>
  <w:style w:type="character" w:styleId="Hyperlink">
    <w:name w:val="Hyperlink"/>
    <w:basedOn w:val="DefaultParagraphFont"/>
    <w:uiPriority w:val="99"/>
    <w:unhideWhenUsed/>
    <w:rsid w:val="000718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17"/>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691A"/>
    <w:rPr>
      <w:rFonts w:ascii="Tahoma" w:hAnsi="Tahoma" w:cs="Tahoma"/>
      <w:sz w:val="16"/>
      <w:szCs w:val="16"/>
    </w:rPr>
  </w:style>
  <w:style w:type="character" w:customStyle="1" w:styleId="BalloonTextChar">
    <w:name w:val="Balloon Text Char"/>
    <w:basedOn w:val="DefaultParagraphFont"/>
    <w:link w:val="BalloonText"/>
    <w:uiPriority w:val="99"/>
    <w:semiHidden/>
    <w:rsid w:val="00CD691A"/>
    <w:rPr>
      <w:rFonts w:ascii="Tahoma" w:hAnsi="Tahoma" w:cs="Tahoma"/>
      <w:sz w:val="16"/>
      <w:szCs w:val="16"/>
    </w:rPr>
  </w:style>
  <w:style w:type="paragraph" w:styleId="NormalWeb">
    <w:name w:val="Normal (Web)"/>
    <w:basedOn w:val="Normal"/>
    <w:uiPriority w:val="99"/>
    <w:unhideWhenUsed/>
    <w:rsid w:val="00CD691A"/>
    <w:pPr>
      <w:widowControl/>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FD6913"/>
    <w:pPr>
      <w:tabs>
        <w:tab w:val="center" w:pos="4680"/>
        <w:tab w:val="right" w:pos="9360"/>
      </w:tabs>
    </w:pPr>
  </w:style>
  <w:style w:type="character" w:customStyle="1" w:styleId="HeaderChar">
    <w:name w:val="Header Char"/>
    <w:basedOn w:val="DefaultParagraphFont"/>
    <w:link w:val="Header"/>
    <w:uiPriority w:val="99"/>
    <w:rsid w:val="00FD6913"/>
  </w:style>
  <w:style w:type="paragraph" w:styleId="Footer">
    <w:name w:val="footer"/>
    <w:basedOn w:val="Normal"/>
    <w:link w:val="FooterChar"/>
    <w:uiPriority w:val="99"/>
    <w:unhideWhenUsed/>
    <w:rsid w:val="00FD6913"/>
    <w:pPr>
      <w:tabs>
        <w:tab w:val="center" w:pos="4680"/>
        <w:tab w:val="right" w:pos="9360"/>
      </w:tabs>
    </w:pPr>
  </w:style>
  <w:style w:type="character" w:customStyle="1" w:styleId="FooterChar">
    <w:name w:val="Footer Char"/>
    <w:basedOn w:val="DefaultParagraphFont"/>
    <w:link w:val="Footer"/>
    <w:uiPriority w:val="99"/>
    <w:rsid w:val="00FD6913"/>
  </w:style>
  <w:style w:type="character" w:styleId="Hyperlink">
    <w:name w:val="Hyperlink"/>
    <w:basedOn w:val="DefaultParagraphFont"/>
    <w:uiPriority w:val="99"/>
    <w:unhideWhenUsed/>
    <w:rsid w:val="000718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9975">
      <w:bodyDiv w:val="1"/>
      <w:marLeft w:val="0"/>
      <w:marRight w:val="0"/>
      <w:marTop w:val="0"/>
      <w:marBottom w:val="0"/>
      <w:divBdr>
        <w:top w:val="none" w:sz="0" w:space="0" w:color="auto"/>
        <w:left w:val="none" w:sz="0" w:space="0" w:color="auto"/>
        <w:bottom w:val="none" w:sz="0" w:space="0" w:color="auto"/>
        <w:right w:val="none" w:sz="0" w:space="0" w:color="auto"/>
      </w:divBdr>
    </w:div>
    <w:div w:id="761225513">
      <w:bodyDiv w:val="1"/>
      <w:marLeft w:val="0"/>
      <w:marRight w:val="0"/>
      <w:marTop w:val="0"/>
      <w:marBottom w:val="0"/>
      <w:divBdr>
        <w:top w:val="none" w:sz="0" w:space="0" w:color="auto"/>
        <w:left w:val="none" w:sz="0" w:space="0" w:color="auto"/>
        <w:bottom w:val="none" w:sz="0" w:space="0" w:color="auto"/>
        <w:right w:val="none" w:sz="0" w:space="0" w:color="auto"/>
      </w:divBdr>
    </w:div>
    <w:div w:id="1503739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afc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cm5@cornell.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cm5@cornell.ed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58146-FB16-452E-BC96-4D74B864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ABBF3E69.dotm</Template>
  <TotalTime>17</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NEAFCSImpact2012.pdf</vt:lpstr>
    </vt:vector>
  </TitlesOfParts>
  <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NEAFCSImpact2012.pdf</dc:title>
  <dc:creator>Amy Peterson</dc:creator>
  <cp:lastModifiedBy>Emily Warrington</cp:lastModifiedBy>
  <cp:revision>14</cp:revision>
  <cp:lastPrinted>2014-04-04T15:07:00Z</cp:lastPrinted>
  <dcterms:created xsi:type="dcterms:W3CDTF">2014-04-02T17:45:00Z</dcterms:created>
  <dcterms:modified xsi:type="dcterms:W3CDTF">2014-04-04T15:07:00Z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2012-04-24T00:00:00Z</vt:filetime>
  </property>
  <property fmtid="{D5CDD505-2E9C-101B-9397-08002B2CF9AE}" pid="3" name="LastSaved">
    <vt:filetime>2014-03-24T00:00:00Z</vt:filetime>
  </property>
</Properties>
</file>